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Pr>
      <w:tblGrid>
        <w:gridCol w:w="9322"/>
      </w:tblGrid>
      <w:tr w:rsidR="00657657" w:rsidTr="00657657">
        <w:tblPrEx>
          <w:tblCellMar>
            <w:top w:w="0" w:type="dxa"/>
            <w:bottom w:w="0" w:type="dxa"/>
          </w:tblCellMar>
        </w:tblPrEx>
        <w:tc>
          <w:tcPr>
            <w:tcW w:w="9322" w:type="dxa"/>
          </w:tcPr>
          <w:p w:rsidR="00657657" w:rsidRDefault="00657657" w:rsidP="00657657">
            <w:bookmarkStart w:id="0" w:name="_GoBack"/>
            <w:bookmarkEnd w:id="0"/>
          </w:p>
        </w:tc>
      </w:tr>
      <w:tr w:rsidR="00657657" w:rsidTr="00657657">
        <w:tblPrEx>
          <w:tblCellMar>
            <w:top w:w="0" w:type="dxa"/>
            <w:bottom w:w="0" w:type="dxa"/>
          </w:tblCellMar>
        </w:tblPrEx>
        <w:tc>
          <w:tcPr>
            <w:tcW w:w="9322" w:type="dxa"/>
          </w:tcPr>
          <w:p w:rsidR="00657657" w:rsidRDefault="00657657" w:rsidP="00657657"/>
        </w:tc>
      </w:tr>
      <w:tr w:rsidR="00657657" w:rsidTr="00657657">
        <w:tblPrEx>
          <w:tblCellMar>
            <w:top w:w="0" w:type="dxa"/>
            <w:bottom w:w="0" w:type="dxa"/>
          </w:tblCellMar>
        </w:tblPrEx>
        <w:tc>
          <w:tcPr>
            <w:tcW w:w="9322" w:type="dxa"/>
          </w:tcPr>
          <w:p w:rsidR="00657657" w:rsidRDefault="00657657" w:rsidP="00657657"/>
        </w:tc>
      </w:tr>
      <w:tr w:rsidR="00657657" w:rsidTr="00657657">
        <w:tblPrEx>
          <w:tblCellMar>
            <w:top w:w="0" w:type="dxa"/>
            <w:bottom w:w="0" w:type="dxa"/>
          </w:tblCellMar>
        </w:tblPrEx>
        <w:tc>
          <w:tcPr>
            <w:tcW w:w="9322" w:type="dxa"/>
          </w:tcPr>
          <w:p w:rsidR="00657657" w:rsidRPr="00D0117E" w:rsidRDefault="0052003D" w:rsidP="008233B2">
            <w:pPr>
              <w:pStyle w:val="Heading1"/>
              <w:rPr>
                <w:b w:val="0"/>
                <w:sz w:val="36"/>
              </w:rPr>
            </w:pPr>
            <w:r>
              <w:rPr>
                <w:b w:val="0"/>
                <w:sz w:val="36"/>
              </w:rPr>
              <w:t>Fire</w:t>
            </w:r>
            <w:r w:rsidR="00657657">
              <w:rPr>
                <w:b w:val="0"/>
                <w:sz w:val="36"/>
              </w:rPr>
              <w:t xml:space="preserve"> Authority</w:t>
            </w:r>
            <w:r>
              <w:rPr>
                <w:b w:val="0"/>
                <w:sz w:val="36"/>
              </w:rPr>
              <w:t xml:space="preserve"> Report</w:t>
            </w:r>
          </w:p>
        </w:tc>
      </w:tr>
      <w:tr w:rsidR="00657657" w:rsidTr="00657657">
        <w:tblPrEx>
          <w:tblCellMar>
            <w:top w:w="0" w:type="dxa"/>
            <w:bottom w:w="0" w:type="dxa"/>
          </w:tblCellMar>
        </w:tblPrEx>
        <w:tc>
          <w:tcPr>
            <w:tcW w:w="9322" w:type="dxa"/>
          </w:tcPr>
          <w:p w:rsidR="00657657" w:rsidRDefault="00657657" w:rsidP="00657657">
            <w:pPr>
              <w:rPr>
                <w:sz w:val="24"/>
              </w:rPr>
            </w:pPr>
          </w:p>
        </w:tc>
      </w:tr>
      <w:tr w:rsidR="00657657" w:rsidTr="00657657">
        <w:tblPrEx>
          <w:tblCellMar>
            <w:top w:w="0" w:type="dxa"/>
            <w:bottom w:w="0" w:type="dxa"/>
          </w:tblCellMar>
        </w:tblPrEx>
        <w:tc>
          <w:tcPr>
            <w:tcW w:w="9322" w:type="dxa"/>
          </w:tcPr>
          <w:p w:rsidR="00657657" w:rsidRPr="00D0117E" w:rsidRDefault="008233B2" w:rsidP="006A1350">
            <w:pPr>
              <w:pStyle w:val="Heading1"/>
              <w:rPr>
                <w:sz w:val="56"/>
                <w:szCs w:val="56"/>
              </w:rPr>
            </w:pPr>
            <w:r>
              <w:rPr>
                <w:sz w:val="56"/>
                <w:szCs w:val="56"/>
              </w:rPr>
              <w:t xml:space="preserve">LOCAL FIREFIGHTER PENSION BOARD ANNUAL REPORT </w:t>
            </w:r>
            <w:r w:rsidRPr="0052003D">
              <w:rPr>
                <w:sz w:val="56"/>
                <w:szCs w:val="56"/>
                <w:highlight w:val="green"/>
              </w:rPr>
              <w:t>201</w:t>
            </w:r>
            <w:r w:rsidR="0052003D" w:rsidRPr="0052003D">
              <w:rPr>
                <w:sz w:val="56"/>
                <w:szCs w:val="56"/>
                <w:highlight w:val="green"/>
              </w:rPr>
              <w:t>x</w:t>
            </w:r>
            <w:r w:rsidRPr="0052003D">
              <w:rPr>
                <w:sz w:val="56"/>
                <w:szCs w:val="56"/>
                <w:highlight w:val="green"/>
              </w:rPr>
              <w:t>/1</w:t>
            </w:r>
            <w:r w:rsidR="0052003D" w:rsidRPr="0052003D">
              <w:rPr>
                <w:sz w:val="56"/>
                <w:szCs w:val="56"/>
                <w:highlight w:val="green"/>
              </w:rPr>
              <w:t>x</w:t>
            </w:r>
          </w:p>
        </w:tc>
      </w:tr>
      <w:tr w:rsidR="00657657" w:rsidTr="00657657">
        <w:tblPrEx>
          <w:tblCellMar>
            <w:top w:w="0" w:type="dxa"/>
            <w:bottom w:w="0" w:type="dxa"/>
          </w:tblCellMar>
        </w:tblPrEx>
        <w:tc>
          <w:tcPr>
            <w:tcW w:w="9322" w:type="dxa"/>
          </w:tcPr>
          <w:p w:rsidR="00657657" w:rsidRDefault="00657657" w:rsidP="00657657">
            <w:pPr>
              <w:rPr>
                <w:sz w:val="24"/>
              </w:rPr>
            </w:pPr>
          </w:p>
        </w:tc>
      </w:tr>
      <w:tr w:rsidR="00657657" w:rsidTr="00657657">
        <w:tblPrEx>
          <w:tblCellMar>
            <w:top w:w="0" w:type="dxa"/>
            <w:bottom w:w="0" w:type="dxa"/>
          </w:tblCellMar>
        </w:tblPrEx>
        <w:tc>
          <w:tcPr>
            <w:tcW w:w="9322" w:type="dxa"/>
          </w:tcPr>
          <w:p w:rsidR="00657657" w:rsidRPr="00D0117E" w:rsidRDefault="00657657" w:rsidP="00657657">
            <w:pPr>
              <w:pStyle w:val="Heading2"/>
            </w:pPr>
            <w:r w:rsidRPr="00D0117E">
              <w:t xml:space="preserve">Report of the </w:t>
            </w:r>
            <w:r>
              <w:t>Chief Fire Officer</w:t>
            </w:r>
          </w:p>
        </w:tc>
      </w:tr>
    </w:tbl>
    <w:p w:rsidR="00657657" w:rsidRDefault="00657657" w:rsidP="00657657">
      <w:pPr>
        <w:rPr>
          <w:b/>
          <w:snapToGrid w:val="0"/>
          <w:sz w:val="24"/>
          <w:lang w:val="en-US"/>
        </w:rPr>
      </w:pPr>
    </w:p>
    <w:p w:rsidR="00657657" w:rsidRDefault="00657657" w:rsidP="00657657">
      <w:pPr>
        <w:rPr>
          <w:snapToGrid w:val="0"/>
          <w:lang w:val="en-US"/>
        </w:rPr>
      </w:pPr>
    </w:p>
    <w:tbl>
      <w:tblPr>
        <w:tblW w:w="9322" w:type="dxa"/>
        <w:tblLayout w:type="fixed"/>
        <w:tblLook w:val="0000" w:firstRow="0" w:lastRow="0" w:firstColumn="0" w:lastColumn="0" w:noHBand="0" w:noVBand="0"/>
      </w:tblPr>
      <w:tblGrid>
        <w:gridCol w:w="2093"/>
        <w:gridCol w:w="6"/>
        <w:gridCol w:w="561"/>
        <w:gridCol w:w="4819"/>
        <w:gridCol w:w="1843"/>
      </w:tblGrid>
      <w:tr w:rsidR="00657657" w:rsidTr="00657657">
        <w:tblPrEx>
          <w:tblCellMar>
            <w:top w:w="0" w:type="dxa"/>
            <w:bottom w:w="0" w:type="dxa"/>
          </w:tblCellMar>
        </w:tblPrEx>
        <w:trPr>
          <w:cantSplit/>
        </w:trPr>
        <w:tc>
          <w:tcPr>
            <w:tcW w:w="2660" w:type="dxa"/>
            <w:gridSpan w:val="3"/>
          </w:tcPr>
          <w:p w:rsidR="00657657" w:rsidRDefault="00657657" w:rsidP="00657657">
            <w:pPr>
              <w:rPr>
                <w:b/>
                <w:sz w:val="24"/>
              </w:rPr>
            </w:pPr>
            <w:r>
              <w:rPr>
                <w:b/>
                <w:sz w:val="24"/>
              </w:rPr>
              <w:t xml:space="preserve">Date: </w:t>
            </w:r>
            <w:r w:rsidRPr="000412A3">
              <w:rPr>
                <w:sz w:val="24"/>
              </w:rPr>
              <w:t xml:space="preserve"> </w:t>
            </w:r>
          </w:p>
        </w:tc>
        <w:tc>
          <w:tcPr>
            <w:tcW w:w="6662" w:type="dxa"/>
            <w:gridSpan w:val="2"/>
          </w:tcPr>
          <w:p w:rsidR="00657657" w:rsidRDefault="00657657" w:rsidP="008233B2">
            <w:pPr>
              <w:rPr>
                <w:sz w:val="24"/>
              </w:rPr>
            </w:pPr>
          </w:p>
        </w:tc>
      </w:tr>
      <w:tr w:rsidR="00657657" w:rsidRPr="0021614F" w:rsidTr="00657657">
        <w:tblPrEx>
          <w:tblCellMar>
            <w:top w:w="0" w:type="dxa"/>
            <w:bottom w:w="0" w:type="dxa"/>
          </w:tblCellMar>
        </w:tblPrEx>
        <w:trPr>
          <w:cantSplit/>
        </w:trPr>
        <w:tc>
          <w:tcPr>
            <w:tcW w:w="7479" w:type="dxa"/>
            <w:gridSpan w:val="4"/>
          </w:tcPr>
          <w:p w:rsidR="00657657" w:rsidRPr="0021614F" w:rsidRDefault="00657657" w:rsidP="00657657">
            <w:pPr>
              <w:rPr>
                <w:b/>
                <w:sz w:val="28"/>
              </w:rPr>
            </w:pPr>
          </w:p>
        </w:tc>
        <w:tc>
          <w:tcPr>
            <w:tcW w:w="1843" w:type="dxa"/>
          </w:tcPr>
          <w:p w:rsidR="00657657" w:rsidRPr="0021614F" w:rsidRDefault="00657657" w:rsidP="00657657">
            <w:pPr>
              <w:jc w:val="center"/>
              <w:rPr>
                <w:sz w:val="28"/>
              </w:rPr>
            </w:pPr>
          </w:p>
        </w:tc>
      </w:tr>
      <w:tr w:rsidR="00657657" w:rsidTr="00657657">
        <w:tblPrEx>
          <w:tblCellMar>
            <w:top w:w="0" w:type="dxa"/>
            <w:bottom w:w="0" w:type="dxa"/>
          </w:tblCellMar>
        </w:tblPrEx>
        <w:trPr>
          <w:cantSplit/>
        </w:trPr>
        <w:tc>
          <w:tcPr>
            <w:tcW w:w="9322" w:type="dxa"/>
            <w:gridSpan w:val="5"/>
          </w:tcPr>
          <w:p w:rsidR="00657657" w:rsidRDefault="00657657" w:rsidP="00657657">
            <w:pPr>
              <w:rPr>
                <w:b/>
                <w:sz w:val="24"/>
              </w:rPr>
            </w:pPr>
            <w:r>
              <w:rPr>
                <w:b/>
                <w:sz w:val="24"/>
              </w:rPr>
              <w:t xml:space="preserve">Purpose of Report: </w:t>
            </w:r>
          </w:p>
          <w:p w:rsidR="00657657" w:rsidRDefault="00657657" w:rsidP="00657657">
            <w:pPr>
              <w:rPr>
                <w:b/>
                <w:sz w:val="24"/>
              </w:rPr>
            </w:pPr>
          </w:p>
          <w:p w:rsidR="00657657" w:rsidRDefault="00657657" w:rsidP="00657657">
            <w:pPr>
              <w:spacing w:line="280" w:lineRule="atLeast"/>
              <w:rPr>
                <w:sz w:val="24"/>
                <w:szCs w:val="24"/>
              </w:rPr>
            </w:pPr>
            <w:r>
              <w:rPr>
                <w:sz w:val="24"/>
                <w:szCs w:val="24"/>
              </w:rPr>
              <w:t xml:space="preserve">To report to Members on the </w:t>
            </w:r>
            <w:r w:rsidR="008233B2">
              <w:rPr>
                <w:sz w:val="24"/>
                <w:szCs w:val="24"/>
              </w:rPr>
              <w:t xml:space="preserve">activities of the Local Firefighter Pension Board up to 31 March </w:t>
            </w:r>
            <w:r w:rsidR="008233B2" w:rsidRPr="0052003D">
              <w:rPr>
                <w:sz w:val="24"/>
                <w:szCs w:val="24"/>
                <w:highlight w:val="green"/>
              </w:rPr>
              <w:t>201</w:t>
            </w:r>
            <w:r w:rsidR="0052003D" w:rsidRPr="0052003D">
              <w:rPr>
                <w:sz w:val="24"/>
                <w:szCs w:val="24"/>
                <w:highlight w:val="green"/>
              </w:rPr>
              <w:t>x</w:t>
            </w:r>
            <w:r w:rsidR="008233B2">
              <w:rPr>
                <w:sz w:val="24"/>
                <w:szCs w:val="24"/>
              </w:rPr>
              <w:t>.</w:t>
            </w:r>
            <w:r>
              <w:rPr>
                <w:sz w:val="24"/>
                <w:szCs w:val="24"/>
              </w:rPr>
              <w:t xml:space="preserve">  </w:t>
            </w:r>
          </w:p>
          <w:p w:rsidR="00657657" w:rsidRDefault="00657657" w:rsidP="00657657">
            <w:pPr>
              <w:spacing w:line="280" w:lineRule="atLeast"/>
              <w:ind w:left="360"/>
              <w:rPr>
                <w:sz w:val="24"/>
                <w:szCs w:val="24"/>
              </w:rPr>
            </w:pPr>
          </w:p>
          <w:p w:rsidR="00657657" w:rsidRDefault="00657657" w:rsidP="00657657">
            <w:pPr>
              <w:spacing w:line="280" w:lineRule="atLeast"/>
              <w:ind w:left="360"/>
              <w:rPr>
                <w:sz w:val="24"/>
                <w:szCs w:val="24"/>
              </w:rPr>
            </w:pPr>
          </w:p>
          <w:p w:rsidR="00657657" w:rsidRDefault="00657657" w:rsidP="00657657">
            <w:pPr>
              <w:spacing w:line="280" w:lineRule="atLeast"/>
              <w:ind w:left="360"/>
              <w:rPr>
                <w:sz w:val="24"/>
                <w:szCs w:val="24"/>
              </w:rPr>
            </w:pPr>
          </w:p>
          <w:p w:rsidR="00657657" w:rsidRDefault="00657657" w:rsidP="00657657">
            <w:pPr>
              <w:spacing w:line="280" w:lineRule="atLeast"/>
              <w:ind w:left="360"/>
              <w:rPr>
                <w:sz w:val="24"/>
                <w:szCs w:val="24"/>
              </w:rPr>
            </w:pPr>
          </w:p>
          <w:p w:rsidR="00657657" w:rsidRDefault="00657657" w:rsidP="00657657">
            <w:pPr>
              <w:spacing w:line="280" w:lineRule="atLeast"/>
              <w:ind w:left="360"/>
              <w:rPr>
                <w:sz w:val="24"/>
                <w:szCs w:val="24"/>
              </w:rPr>
            </w:pPr>
          </w:p>
          <w:p w:rsidR="00657657" w:rsidRDefault="00657657" w:rsidP="00657657">
            <w:pPr>
              <w:spacing w:line="280" w:lineRule="atLeast"/>
              <w:ind w:left="360"/>
              <w:rPr>
                <w:sz w:val="24"/>
                <w:szCs w:val="24"/>
              </w:rPr>
            </w:pPr>
          </w:p>
          <w:p w:rsidR="00657657" w:rsidRPr="0093598D" w:rsidRDefault="00657657" w:rsidP="00657657">
            <w:pPr>
              <w:spacing w:line="280" w:lineRule="atLeast"/>
              <w:ind w:left="360"/>
              <w:rPr>
                <w:sz w:val="24"/>
                <w:szCs w:val="24"/>
              </w:rPr>
            </w:pPr>
          </w:p>
        </w:tc>
      </w:tr>
      <w:tr w:rsidR="00657657" w:rsidRPr="00A43D95" w:rsidTr="00657657">
        <w:tblPrEx>
          <w:tblCellMar>
            <w:top w:w="0" w:type="dxa"/>
            <w:bottom w:w="0" w:type="dxa"/>
          </w:tblCellMar>
        </w:tblPrEx>
        <w:trPr>
          <w:cantSplit/>
        </w:trPr>
        <w:tc>
          <w:tcPr>
            <w:tcW w:w="9322" w:type="dxa"/>
            <w:gridSpan w:val="5"/>
          </w:tcPr>
          <w:p w:rsidR="00657657" w:rsidRPr="00A43D95" w:rsidRDefault="00657657" w:rsidP="00657657">
            <w:pPr>
              <w:jc w:val="both"/>
            </w:pPr>
          </w:p>
        </w:tc>
      </w:tr>
      <w:tr w:rsidR="00657657" w:rsidRPr="00A43D95" w:rsidTr="00657657">
        <w:tblPrEx>
          <w:tblCellMar>
            <w:top w:w="0" w:type="dxa"/>
            <w:bottom w:w="0" w:type="dxa"/>
          </w:tblCellMar>
        </w:tblPrEx>
        <w:trPr>
          <w:cantSplit/>
          <w:trHeight w:val="553"/>
        </w:trPr>
        <w:tc>
          <w:tcPr>
            <w:tcW w:w="2093" w:type="dxa"/>
            <w:vAlign w:val="center"/>
          </w:tcPr>
          <w:p w:rsidR="00657657" w:rsidRPr="00A43D95" w:rsidRDefault="00657657" w:rsidP="00657657">
            <w:pPr>
              <w:rPr>
                <w:b/>
              </w:rPr>
            </w:pPr>
          </w:p>
        </w:tc>
        <w:tc>
          <w:tcPr>
            <w:tcW w:w="7229" w:type="dxa"/>
            <w:gridSpan w:val="4"/>
            <w:vAlign w:val="center"/>
          </w:tcPr>
          <w:p w:rsidR="00657657" w:rsidRPr="00A43D95" w:rsidRDefault="00657657" w:rsidP="00337273"/>
        </w:tc>
      </w:tr>
      <w:tr w:rsidR="00657657" w:rsidRPr="00A9659F" w:rsidTr="00657657">
        <w:tblPrEx>
          <w:tblCellMar>
            <w:top w:w="0" w:type="dxa"/>
            <w:bottom w:w="0" w:type="dxa"/>
          </w:tblCellMar>
        </w:tblPrEx>
        <w:trPr>
          <w:cantSplit/>
          <w:trHeight w:val="589"/>
        </w:trPr>
        <w:tc>
          <w:tcPr>
            <w:tcW w:w="2093" w:type="dxa"/>
            <w:vAlign w:val="center"/>
          </w:tcPr>
          <w:p w:rsidR="00657657" w:rsidRPr="00A9659F" w:rsidRDefault="00657657" w:rsidP="00657657">
            <w:pPr>
              <w:rPr>
                <w:b/>
              </w:rPr>
            </w:pPr>
          </w:p>
        </w:tc>
        <w:tc>
          <w:tcPr>
            <w:tcW w:w="7229" w:type="dxa"/>
            <w:gridSpan w:val="4"/>
            <w:vAlign w:val="center"/>
          </w:tcPr>
          <w:p w:rsidR="00657657" w:rsidRPr="00A9659F" w:rsidRDefault="00657657" w:rsidP="00657657"/>
        </w:tc>
      </w:tr>
      <w:tr w:rsidR="00657657" w:rsidRPr="00A9659F" w:rsidTr="00657657">
        <w:tblPrEx>
          <w:tblCellMar>
            <w:top w:w="0" w:type="dxa"/>
            <w:bottom w:w="0" w:type="dxa"/>
          </w:tblCellMar>
        </w:tblPrEx>
        <w:trPr>
          <w:cantSplit/>
          <w:trHeight w:val="555"/>
        </w:trPr>
        <w:tc>
          <w:tcPr>
            <w:tcW w:w="2093" w:type="dxa"/>
            <w:vAlign w:val="center"/>
          </w:tcPr>
          <w:p w:rsidR="00657657" w:rsidRPr="00A9659F" w:rsidRDefault="00657657" w:rsidP="00657657">
            <w:pPr>
              <w:rPr>
                <w:b/>
              </w:rPr>
            </w:pPr>
          </w:p>
        </w:tc>
        <w:tc>
          <w:tcPr>
            <w:tcW w:w="7229" w:type="dxa"/>
            <w:gridSpan w:val="4"/>
            <w:vAlign w:val="center"/>
          </w:tcPr>
          <w:p w:rsidR="00657657" w:rsidRPr="00A9659F" w:rsidRDefault="00657657" w:rsidP="00241115"/>
        </w:tc>
      </w:tr>
      <w:tr w:rsidR="00657657" w:rsidRPr="00A9659F" w:rsidTr="00657657">
        <w:tblPrEx>
          <w:tblCellMar>
            <w:top w:w="0" w:type="dxa"/>
            <w:bottom w:w="0" w:type="dxa"/>
          </w:tblCellMar>
        </w:tblPrEx>
        <w:trPr>
          <w:cantSplit/>
        </w:trPr>
        <w:tc>
          <w:tcPr>
            <w:tcW w:w="9322" w:type="dxa"/>
            <w:gridSpan w:val="5"/>
          </w:tcPr>
          <w:p w:rsidR="00657657" w:rsidRPr="00A9659F" w:rsidRDefault="00657657" w:rsidP="00657657">
            <w:pPr>
              <w:jc w:val="both"/>
            </w:pPr>
          </w:p>
        </w:tc>
      </w:tr>
      <w:tr w:rsidR="00657657" w:rsidRPr="00A9659F" w:rsidTr="00657657">
        <w:tblPrEx>
          <w:tblCellMar>
            <w:top w:w="0" w:type="dxa"/>
            <w:bottom w:w="0" w:type="dxa"/>
          </w:tblCellMar>
        </w:tblPrEx>
        <w:trPr>
          <w:cantSplit/>
        </w:trPr>
        <w:tc>
          <w:tcPr>
            <w:tcW w:w="2099" w:type="dxa"/>
            <w:gridSpan w:val="2"/>
            <w:vMerge w:val="restart"/>
          </w:tcPr>
          <w:p w:rsidR="00657657" w:rsidRPr="00A9659F" w:rsidRDefault="00657657" w:rsidP="00657657">
            <w:pPr>
              <w:jc w:val="both"/>
              <w:rPr>
                <w:b/>
              </w:rPr>
            </w:pPr>
          </w:p>
        </w:tc>
        <w:tc>
          <w:tcPr>
            <w:tcW w:w="7223" w:type="dxa"/>
            <w:gridSpan w:val="3"/>
          </w:tcPr>
          <w:p w:rsidR="00657657" w:rsidRPr="00A9659F" w:rsidRDefault="00657657" w:rsidP="00657657">
            <w:pPr>
              <w:jc w:val="both"/>
            </w:pPr>
          </w:p>
        </w:tc>
      </w:tr>
      <w:tr w:rsidR="00657657" w:rsidRPr="00A9659F" w:rsidTr="00657657">
        <w:tblPrEx>
          <w:tblCellMar>
            <w:top w:w="0" w:type="dxa"/>
            <w:bottom w:w="0" w:type="dxa"/>
          </w:tblCellMar>
        </w:tblPrEx>
        <w:trPr>
          <w:cantSplit/>
        </w:trPr>
        <w:tc>
          <w:tcPr>
            <w:tcW w:w="2099" w:type="dxa"/>
            <w:gridSpan w:val="2"/>
            <w:vMerge/>
          </w:tcPr>
          <w:p w:rsidR="00657657" w:rsidRPr="00A9659F" w:rsidRDefault="00657657" w:rsidP="00657657">
            <w:pPr>
              <w:jc w:val="both"/>
              <w:rPr>
                <w:b/>
              </w:rPr>
            </w:pPr>
          </w:p>
        </w:tc>
        <w:tc>
          <w:tcPr>
            <w:tcW w:w="7223" w:type="dxa"/>
            <w:gridSpan w:val="3"/>
          </w:tcPr>
          <w:p w:rsidR="00657657" w:rsidRPr="00A9659F" w:rsidRDefault="00657657" w:rsidP="00DA5419">
            <w:pPr>
              <w:jc w:val="both"/>
            </w:pPr>
          </w:p>
        </w:tc>
      </w:tr>
    </w:tbl>
    <w:p w:rsidR="0052003D" w:rsidRDefault="0052003D"/>
    <w:p w:rsidR="003C343C" w:rsidRDefault="0052003D">
      <w:r>
        <w:br w:type="page"/>
      </w:r>
    </w:p>
    <w:p w:rsidR="003C343C" w:rsidRDefault="003C343C"/>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73"/>
      </w:tblGrid>
      <w:tr w:rsidR="00597CC7" w:rsidTr="003C343C">
        <w:tc>
          <w:tcPr>
            <w:tcW w:w="9173" w:type="dxa"/>
            <w:shd w:val="clear" w:color="auto" w:fill="D9D9D9"/>
          </w:tcPr>
          <w:p w:rsidR="00597CC7" w:rsidRDefault="00657657" w:rsidP="00C85658">
            <w:pPr>
              <w:pStyle w:val="Heading1"/>
              <w:tabs>
                <w:tab w:val="left" w:pos="567"/>
              </w:tabs>
              <w:spacing w:before="120" w:after="120"/>
              <w:jc w:val="both"/>
              <w:rPr>
                <w:sz w:val="24"/>
                <w:szCs w:val="24"/>
              </w:rPr>
            </w:pPr>
            <w:r>
              <w:rPr>
                <w:b w:val="0"/>
                <w:bCs w:val="0"/>
              </w:rPr>
              <w:br w:type="page"/>
            </w:r>
            <w:r w:rsidR="000A5805" w:rsidRPr="000A5805">
              <w:rPr>
                <w:sz w:val="24"/>
                <w:szCs w:val="24"/>
              </w:rPr>
              <w:t xml:space="preserve">1. </w:t>
            </w:r>
            <w:r w:rsidR="000A5805">
              <w:rPr>
                <w:sz w:val="24"/>
                <w:szCs w:val="24"/>
              </w:rPr>
              <w:t xml:space="preserve">   </w:t>
            </w:r>
            <w:r w:rsidR="007C0B42">
              <w:rPr>
                <w:sz w:val="24"/>
                <w:szCs w:val="24"/>
              </w:rPr>
              <w:t xml:space="preserve"> </w:t>
            </w:r>
            <w:r w:rsidR="00C85658">
              <w:rPr>
                <w:sz w:val="24"/>
                <w:szCs w:val="24"/>
              </w:rPr>
              <w:t>BACKGROUND</w:t>
            </w:r>
          </w:p>
        </w:tc>
      </w:tr>
    </w:tbl>
    <w:p w:rsidR="00597CC7" w:rsidRDefault="00597CC7" w:rsidP="0003402B">
      <w:pPr>
        <w:jc w:val="both"/>
      </w:pPr>
    </w:p>
    <w:p w:rsidR="008A041B" w:rsidRPr="003A2A72" w:rsidRDefault="00784160" w:rsidP="0003402B">
      <w:pPr>
        <w:pStyle w:val="ListParagraph"/>
        <w:numPr>
          <w:ilvl w:val="1"/>
          <w:numId w:val="11"/>
        </w:numPr>
        <w:ind w:left="709" w:right="709" w:hanging="709"/>
        <w:contextualSpacing/>
        <w:rPr>
          <w:sz w:val="24"/>
          <w:szCs w:val="24"/>
        </w:rPr>
      </w:pPr>
      <w:r>
        <w:rPr>
          <w:sz w:val="24"/>
          <w:szCs w:val="24"/>
        </w:rPr>
        <w:t>The Public Service Pensions Act 2013 introduced a framework for the governance and administration of public service pension schemes, including those pension schemes for fire and rescue workers</w:t>
      </w:r>
      <w:r w:rsidRPr="003A2A72">
        <w:rPr>
          <w:sz w:val="24"/>
          <w:szCs w:val="24"/>
        </w:rPr>
        <w:t>.</w:t>
      </w:r>
      <w:r>
        <w:rPr>
          <w:sz w:val="24"/>
          <w:szCs w:val="24"/>
        </w:rPr>
        <w:t xml:space="preserve"> The Act included the requirement for a Local Pension Board to be established</w:t>
      </w:r>
      <w:r w:rsidR="00FA3A26">
        <w:rPr>
          <w:sz w:val="24"/>
          <w:szCs w:val="24"/>
        </w:rPr>
        <w:t xml:space="preserve"> by each responsible Authority</w:t>
      </w:r>
      <w:r>
        <w:rPr>
          <w:sz w:val="24"/>
          <w:szCs w:val="24"/>
        </w:rPr>
        <w:t>.</w:t>
      </w:r>
    </w:p>
    <w:p w:rsidR="008A041B" w:rsidRPr="003A2A72" w:rsidRDefault="008A041B" w:rsidP="0003402B">
      <w:pPr>
        <w:ind w:right="709"/>
        <w:rPr>
          <w:sz w:val="24"/>
          <w:szCs w:val="24"/>
        </w:rPr>
      </w:pPr>
    </w:p>
    <w:p w:rsidR="00A22BC4" w:rsidRDefault="00784160" w:rsidP="0003402B">
      <w:pPr>
        <w:numPr>
          <w:ilvl w:val="1"/>
          <w:numId w:val="11"/>
        </w:numPr>
        <w:ind w:left="709" w:right="709" w:hanging="709"/>
        <w:rPr>
          <w:sz w:val="24"/>
          <w:szCs w:val="24"/>
        </w:rPr>
      </w:pPr>
      <w:r w:rsidRPr="008D6CCB">
        <w:rPr>
          <w:sz w:val="24"/>
          <w:szCs w:val="24"/>
        </w:rPr>
        <w:t xml:space="preserve">In </w:t>
      </w:r>
      <w:r w:rsidRPr="000C45E3">
        <w:rPr>
          <w:sz w:val="24"/>
          <w:szCs w:val="24"/>
          <w:highlight w:val="green"/>
        </w:rPr>
        <w:t>April 2015</w:t>
      </w:r>
      <w:r w:rsidR="004F4741">
        <w:rPr>
          <w:sz w:val="24"/>
          <w:szCs w:val="24"/>
        </w:rPr>
        <w:t>,</w:t>
      </w:r>
      <w:r w:rsidRPr="008D6CCB">
        <w:rPr>
          <w:sz w:val="24"/>
          <w:szCs w:val="24"/>
        </w:rPr>
        <w:t xml:space="preserve"> this Committee approved the creation of a Local Pension Board in respect of the firefighter pension schemes, in accordance with the requirements of the Public Services Pensions Act 2013</w:t>
      </w:r>
      <w:r w:rsidR="00FA3A26" w:rsidRPr="008D6CCB">
        <w:rPr>
          <w:sz w:val="24"/>
          <w:szCs w:val="24"/>
        </w:rPr>
        <w:t xml:space="preserve"> (the Act)</w:t>
      </w:r>
      <w:r w:rsidRPr="008D6CCB">
        <w:rPr>
          <w:sz w:val="24"/>
          <w:szCs w:val="24"/>
        </w:rPr>
        <w:t xml:space="preserve">. This </w:t>
      </w:r>
      <w:r w:rsidR="00FA3A26" w:rsidRPr="008D6CCB">
        <w:rPr>
          <w:sz w:val="24"/>
          <w:szCs w:val="24"/>
        </w:rPr>
        <w:t>B</w:t>
      </w:r>
      <w:r w:rsidRPr="008D6CCB">
        <w:rPr>
          <w:sz w:val="24"/>
          <w:szCs w:val="24"/>
        </w:rPr>
        <w:t>oard is known as the Local Firefighter Pension Board and has been operating ever since.</w:t>
      </w:r>
      <w:r w:rsidR="008D6CCB" w:rsidRPr="008D6CCB">
        <w:rPr>
          <w:sz w:val="24"/>
          <w:szCs w:val="24"/>
        </w:rPr>
        <w:t xml:space="preserve">  </w:t>
      </w:r>
    </w:p>
    <w:p w:rsidR="00F3577D" w:rsidRPr="003A2A72" w:rsidRDefault="00F3577D" w:rsidP="0003402B">
      <w:pPr>
        <w:ind w:left="360" w:right="709"/>
        <w:rPr>
          <w:sz w:val="24"/>
          <w:szCs w:val="24"/>
        </w:rPr>
      </w:pPr>
    </w:p>
    <w:p w:rsidR="00A7753F" w:rsidRPr="0044034E" w:rsidRDefault="00406F3F" w:rsidP="0003402B">
      <w:pPr>
        <w:ind w:left="720" w:right="709" w:hanging="720"/>
        <w:rPr>
          <w:sz w:val="24"/>
          <w:szCs w:val="24"/>
        </w:rPr>
      </w:pPr>
      <w:r>
        <w:rPr>
          <w:sz w:val="24"/>
          <w:szCs w:val="24"/>
        </w:rPr>
        <w:t>1.3</w:t>
      </w:r>
      <w:r>
        <w:rPr>
          <w:sz w:val="24"/>
          <w:szCs w:val="24"/>
        </w:rPr>
        <w:tab/>
      </w:r>
      <w:r w:rsidR="00A7753F">
        <w:rPr>
          <w:sz w:val="24"/>
          <w:szCs w:val="24"/>
        </w:rPr>
        <w:t>The purpose of the L</w:t>
      </w:r>
      <w:r>
        <w:rPr>
          <w:sz w:val="24"/>
          <w:szCs w:val="24"/>
        </w:rPr>
        <w:t xml:space="preserve">ocal </w:t>
      </w:r>
      <w:r w:rsidR="00A7753F">
        <w:rPr>
          <w:sz w:val="24"/>
          <w:szCs w:val="24"/>
        </w:rPr>
        <w:t>F</w:t>
      </w:r>
      <w:r>
        <w:rPr>
          <w:sz w:val="24"/>
          <w:szCs w:val="24"/>
        </w:rPr>
        <w:t xml:space="preserve">irefighter </w:t>
      </w:r>
      <w:r w:rsidR="00A7753F">
        <w:rPr>
          <w:sz w:val="24"/>
          <w:szCs w:val="24"/>
        </w:rPr>
        <w:t>P</w:t>
      </w:r>
      <w:r>
        <w:rPr>
          <w:sz w:val="24"/>
          <w:szCs w:val="24"/>
        </w:rPr>
        <w:t xml:space="preserve">ension </w:t>
      </w:r>
      <w:r w:rsidR="00A7753F">
        <w:rPr>
          <w:sz w:val="24"/>
          <w:szCs w:val="24"/>
        </w:rPr>
        <w:t>B</w:t>
      </w:r>
      <w:r>
        <w:rPr>
          <w:sz w:val="24"/>
          <w:szCs w:val="24"/>
        </w:rPr>
        <w:t>oard</w:t>
      </w:r>
      <w:r w:rsidR="00A7753F">
        <w:rPr>
          <w:sz w:val="24"/>
          <w:szCs w:val="24"/>
        </w:rPr>
        <w:t xml:space="preserve"> </w:t>
      </w:r>
      <w:r>
        <w:rPr>
          <w:sz w:val="24"/>
          <w:szCs w:val="24"/>
        </w:rPr>
        <w:t xml:space="preserve">is </w:t>
      </w:r>
      <w:r w:rsidR="00A7753F">
        <w:rPr>
          <w:sz w:val="24"/>
          <w:szCs w:val="24"/>
        </w:rPr>
        <w:t xml:space="preserve">to assist </w:t>
      </w:r>
      <w:r w:rsidR="0052003D">
        <w:rPr>
          <w:sz w:val="24"/>
          <w:szCs w:val="24"/>
        </w:rPr>
        <w:t>the Fire Authority</w:t>
      </w:r>
      <w:r w:rsidR="00A7753F" w:rsidRPr="0044034E">
        <w:rPr>
          <w:sz w:val="24"/>
          <w:szCs w:val="24"/>
        </w:rPr>
        <w:t xml:space="preserve"> in its role as the Scheme Manager of the Fire Fighters Pension Scheme</w:t>
      </w:r>
      <w:r>
        <w:rPr>
          <w:sz w:val="24"/>
          <w:szCs w:val="24"/>
        </w:rPr>
        <w:t>s</w:t>
      </w:r>
      <w:r w:rsidR="00EE1DA5">
        <w:rPr>
          <w:sz w:val="24"/>
          <w:szCs w:val="24"/>
        </w:rPr>
        <w:t>:</w:t>
      </w:r>
      <w:r w:rsidR="00A7753F" w:rsidRPr="0044034E">
        <w:rPr>
          <w:sz w:val="24"/>
          <w:szCs w:val="24"/>
        </w:rPr>
        <w:t xml:space="preserve"> 1992, 2006</w:t>
      </w:r>
      <w:r>
        <w:rPr>
          <w:sz w:val="24"/>
          <w:szCs w:val="24"/>
        </w:rPr>
        <w:t>,</w:t>
      </w:r>
      <w:r w:rsidR="00A7753F" w:rsidRPr="0044034E">
        <w:rPr>
          <w:sz w:val="24"/>
          <w:szCs w:val="24"/>
        </w:rPr>
        <w:t xml:space="preserve"> 2015 </w:t>
      </w:r>
      <w:r>
        <w:rPr>
          <w:sz w:val="24"/>
          <w:szCs w:val="24"/>
        </w:rPr>
        <w:t>and Retained Modified</w:t>
      </w:r>
      <w:r w:rsidR="00A7753F" w:rsidRPr="0044034E">
        <w:rPr>
          <w:sz w:val="24"/>
          <w:szCs w:val="24"/>
        </w:rPr>
        <w:t>.  Such assistance is to:</w:t>
      </w:r>
    </w:p>
    <w:p w:rsidR="00A7753F" w:rsidRPr="000F2EA6" w:rsidRDefault="00A7753F" w:rsidP="0003402B">
      <w:pPr>
        <w:autoSpaceDE w:val="0"/>
        <w:autoSpaceDN w:val="0"/>
        <w:adjustRightInd w:val="0"/>
        <w:ind w:left="720"/>
        <w:rPr>
          <w:rFonts w:eastAsia="Calibri"/>
          <w:color w:val="000000"/>
          <w:sz w:val="24"/>
          <w:szCs w:val="24"/>
        </w:rPr>
      </w:pPr>
    </w:p>
    <w:p w:rsidR="00A7753F" w:rsidRPr="000F2EA6" w:rsidRDefault="00662CEA" w:rsidP="00662CEA">
      <w:pPr>
        <w:numPr>
          <w:ilvl w:val="0"/>
          <w:numId w:val="34"/>
        </w:numPr>
        <w:autoSpaceDE w:val="0"/>
        <w:autoSpaceDN w:val="0"/>
        <w:adjustRightInd w:val="0"/>
        <w:ind w:left="1080"/>
        <w:rPr>
          <w:rFonts w:eastAsia="Calibri"/>
          <w:color w:val="000000"/>
          <w:sz w:val="24"/>
          <w:szCs w:val="24"/>
        </w:rPr>
      </w:pPr>
      <w:r>
        <w:rPr>
          <w:rFonts w:eastAsia="Calibri"/>
          <w:color w:val="000000"/>
          <w:sz w:val="24"/>
          <w:szCs w:val="24"/>
        </w:rPr>
        <w:t>S</w:t>
      </w:r>
      <w:r w:rsidR="00A7753F" w:rsidRPr="000F2EA6">
        <w:rPr>
          <w:rFonts w:eastAsia="Calibri"/>
          <w:color w:val="000000"/>
          <w:sz w:val="24"/>
          <w:szCs w:val="24"/>
        </w:rPr>
        <w:t>ecure compliance with the Scheme’s regulations, any other legislation relating to the governance and administration of the Scheme, and requirements imposed by the Pensions Regulator in relation to the Scheme</w:t>
      </w:r>
      <w:r>
        <w:rPr>
          <w:rFonts w:eastAsia="Calibri"/>
          <w:color w:val="000000"/>
          <w:sz w:val="24"/>
          <w:szCs w:val="24"/>
        </w:rPr>
        <w:t>; and</w:t>
      </w:r>
    </w:p>
    <w:p w:rsidR="00A7753F" w:rsidRPr="000F2EA6" w:rsidRDefault="00A7753F" w:rsidP="00662CEA">
      <w:pPr>
        <w:autoSpaceDE w:val="0"/>
        <w:autoSpaceDN w:val="0"/>
        <w:adjustRightInd w:val="0"/>
        <w:rPr>
          <w:rFonts w:eastAsia="Calibri"/>
          <w:color w:val="000000"/>
          <w:sz w:val="24"/>
          <w:szCs w:val="24"/>
        </w:rPr>
      </w:pPr>
    </w:p>
    <w:p w:rsidR="00C200B9" w:rsidRDefault="00662CEA" w:rsidP="00662CEA">
      <w:pPr>
        <w:numPr>
          <w:ilvl w:val="0"/>
          <w:numId w:val="34"/>
        </w:numPr>
        <w:ind w:left="1080" w:right="709"/>
        <w:rPr>
          <w:sz w:val="24"/>
          <w:szCs w:val="24"/>
        </w:rPr>
      </w:pPr>
      <w:r>
        <w:rPr>
          <w:rFonts w:eastAsia="Calibri"/>
          <w:color w:val="000000"/>
          <w:sz w:val="24"/>
          <w:szCs w:val="24"/>
        </w:rPr>
        <w:t>E</w:t>
      </w:r>
      <w:r w:rsidR="00A7753F" w:rsidRPr="000F2EA6">
        <w:rPr>
          <w:rFonts w:eastAsia="Calibri"/>
          <w:color w:val="000000"/>
          <w:sz w:val="24"/>
          <w:szCs w:val="24"/>
        </w:rPr>
        <w:t>nsure the effective and efficient governance and administration of the Scheme.</w:t>
      </w:r>
    </w:p>
    <w:p w:rsidR="008233B2" w:rsidRDefault="008233B2" w:rsidP="0003402B">
      <w:pPr>
        <w:ind w:left="720" w:right="709" w:hanging="720"/>
        <w:rPr>
          <w:sz w:val="24"/>
          <w:szCs w:val="24"/>
        </w:rPr>
      </w:pPr>
    </w:p>
    <w:p w:rsidR="008233B2" w:rsidRDefault="008233B2" w:rsidP="0003402B">
      <w:pPr>
        <w:ind w:left="720" w:right="709" w:hanging="720"/>
        <w:rPr>
          <w:sz w:val="24"/>
          <w:szCs w:val="24"/>
        </w:rPr>
      </w:pPr>
      <w:r>
        <w:rPr>
          <w:sz w:val="24"/>
          <w:szCs w:val="24"/>
        </w:rPr>
        <w:t>1.4</w:t>
      </w:r>
      <w:r>
        <w:rPr>
          <w:sz w:val="24"/>
          <w:szCs w:val="24"/>
        </w:rPr>
        <w:tab/>
      </w:r>
      <w:r w:rsidR="00406F3F">
        <w:rPr>
          <w:sz w:val="24"/>
          <w:szCs w:val="24"/>
        </w:rPr>
        <w:t xml:space="preserve">The Fire Authority is the </w:t>
      </w:r>
      <w:r>
        <w:rPr>
          <w:sz w:val="24"/>
          <w:szCs w:val="24"/>
        </w:rPr>
        <w:t xml:space="preserve">Scheme </w:t>
      </w:r>
      <w:r w:rsidR="00406F3F">
        <w:rPr>
          <w:sz w:val="24"/>
          <w:szCs w:val="24"/>
        </w:rPr>
        <w:t>Manager for the firefighter pension schemes, which is a role defined by the Act.</w:t>
      </w:r>
      <w:r>
        <w:rPr>
          <w:sz w:val="24"/>
          <w:szCs w:val="24"/>
        </w:rPr>
        <w:t xml:space="preserve"> </w:t>
      </w:r>
      <w:r w:rsidR="00406F3F">
        <w:rPr>
          <w:sz w:val="24"/>
          <w:szCs w:val="24"/>
        </w:rPr>
        <w:t>T</w:t>
      </w:r>
      <w:r w:rsidR="00406F3F" w:rsidRPr="00406F3F">
        <w:rPr>
          <w:sz w:val="24"/>
          <w:szCs w:val="24"/>
        </w:rPr>
        <w:t xml:space="preserve">he day to day responsibilities of the Scheme Manager </w:t>
      </w:r>
      <w:r w:rsidR="00406F3F">
        <w:rPr>
          <w:sz w:val="24"/>
          <w:szCs w:val="24"/>
        </w:rPr>
        <w:t xml:space="preserve">are </w:t>
      </w:r>
      <w:r w:rsidR="00406F3F" w:rsidRPr="00406F3F">
        <w:rPr>
          <w:sz w:val="24"/>
          <w:szCs w:val="24"/>
        </w:rPr>
        <w:t xml:space="preserve">delegated to the </w:t>
      </w:r>
      <w:r w:rsidR="00406F3F" w:rsidRPr="00D10B5B">
        <w:rPr>
          <w:sz w:val="24"/>
          <w:szCs w:val="24"/>
          <w:highlight w:val="green"/>
        </w:rPr>
        <w:t>Head of Finance post</w:t>
      </w:r>
      <w:r w:rsidR="00406F3F">
        <w:rPr>
          <w:sz w:val="24"/>
          <w:szCs w:val="24"/>
        </w:rPr>
        <w:t xml:space="preserve"> and this report therefore serves to communicate to the Fire Authority about the activities of the Local Firefighter Pension Board</w:t>
      </w:r>
      <w:r w:rsidR="000A3594">
        <w:rPr>
          <w:sz w:val="24"/>
          <w:szCs w:val="24"/>
        </w:rPr>
        <w:t xml:space="preserve"> to date</w:t>
      </w:r>
      <w:r w:rsidR="00406F3F" w:rsidRPr="00406F3F">
        <w:rPr>
          <w:sz w:val="24"/>
          <w:szCs w:val="24"/>
        </w:rPr>
        <w:t>.</w:t>
      </w:r>
    </w:p>
    <w:p w:rsidR="00C200B9" w:rsidRDefault="00C200B9" w:rsidP="0003402B">
      <w:pPr>
        <w:ind w:left="720" w:hanging="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73"/>
      </w:tblGrid>
      <w:tr w:rsidR="00597CC7">
        <w:tc>
          <w:tcPr>
            <w:tcW w:w="9173" w:type="dxa"/>
            <w:shd w:val="clear" w:color="auto" w:fill="D9D9D9"/>
          </w:tcPr>
          <w:p w:rsidR="00597CC7" w:rsidRDefault="000A5805" w:rsidP="00FA5CF7">
            <w:pPr>
              <w:pStyle w:val="Heading1"/>
              <w:tabs>
                <w:tab w:val="left" w:pos="567"/>
              </w:tabs>
              <w:spacing w:before="120" w:after="120"/>
              <w:jc w:val="both"/>
              <w:rPr>
                <w:rFonts w:ascii="Arial" w:hAnsi="Arial"/>
                <w:sz w:val="24"/>
                <w:szCs w:val="24"/>
              </w:rPr>
            </w:pPr>
            <w:r>
              <w:rPr>
                <w:sz w:val="24"/>
                <w:szCs w:val="24"/>
              </w:rPr>
              <w:t>2</w:t>
            </w:r>
            <w:r w:rsidR="00597CC7">
              <w:rPr>
                <w:sz w:val="24"/>
                <w:szCs w:val="24"/>
              </w:rPr>
              <w:tab/>
            </w:r>
            <w:r w:rsidR="00FA5CF7">
              <w:rPr>
                <w:sz w:val="24"/>
                <w:szCs w:val="24"/>
              </w:rPr>
              <w:t>REPORT</w:t>
            </w:r>
          </w:p>
        </w:tc>
      </w:tr>
    </w:tbl>
    <w:p w:rsidR="003B6A39" w:rsidRDefault="003B6A39" w:rsidP="00881CCA">
      <w:pPr>
        <w:rPr>
          <w:sz w:val="24"/>
          <w:szCs w:val="24"/>
        </w:rPr>
      </w:pPr>
    </w:p>
    <w:p w:rsidR="00464911" w:rsidRPr="00851697" w:rsidRDefault="008233B2" w:rsidP="0003402B">
      <w:pPr>
        <w:ind w:right="283"/>
        <w:rPr>
          <w:b/>
          <w:sz w:val="24"/>
          <w:szCs w:val="24"/>
        </w:rPr>
      </w:pPr>
      <w:r>
        <w:rPr>
          <w:b/>
          <w:sz w:val="24"/>
          <w:szCs w:val="24"/>
        </w:rPr>
        <w:t>CONSTITUTION</w:t>
      </w:r>
    </w:p>
    <w:p w:rsidR="00464911" w:rsidRPr="004D626F" w:rsidRDefault="00464911" w:rsidP="0003402B">
      <w:pPr>
        <w:ind w:right="283"/>
        <w:rPr>
          <w:color w:val="FF0000"/>
          <w:sz w:val="24"/>
          <w:szCs w:val="24"/>
        </w:rPr>
      </w:pPr>
    </w:p>
    <w:p w:rsidR="00F435E4" w:rsidRDefault="00464911" w:rsidP="0003402B">
      <w:pPr>
        <w:ind w:left="720" w:right="283" w:hanging="720"/>
        <w:rPr>
          <w:sz w:val="24"/>
          <w:szCs w:val="24"/>
        </w:rPr>
      </w:pPr>
      <w:r w:rsidRPr="008233B2">
        <w:rPr>
          <w:sz w:val="24"/>
          <w:szCs w:val="24"/>
        </w:rPr>
        <w:t>2.1</w:t>
      </w:r>
      <w:r w:rsidRPr="008233B2">
        <w:rPr>
          <w:sz w:val="24"/>
          <w:szCs w:val="24"/>
        </w:rPr>
        <w:tab/>
      </w:r>
      <w:r w:rsidR="00EE1DA5">
        <w:rPr>
          <w:sz w:val="24"/>
          <w:szCs w:val="24"/>
        </w:rPr>
        <w:t>A constitution for the Local Firefighter Pension Board was approved by the Policy and Strategy Committee at the time that the Board was created. Since then the Local Firefighter Pension Board has approved a number of changes to the Constitution which can be summarised as:</w:t>
      </w:r>
    </w:p>
    <w:p w:rsidR="00EE1DA5" w:rsidRDefault="00EE1DA5" w:rsidP="0003402B">
      <w:pPr>
        <w:ind w:left="720" w:right="283" w:hanging="720"/>
        <w:rPr>
          <w:sz w:val="24"/>
          <w:szCs w:val="24"/>
        </w:rPr>
      </w:pPr>
    </w:p>
    <w:p w:rsidR="00F435E4" w:rsidRPr="008233B2" w:rsidRDefault="00EE1DA5" w:rsidP="0052003D">
      <w:pPr>
        <w:ind w:left="1440" w:right="283" w:hanging="720"/>
        <w:rPr>
          <w:sz w:val="24"/>
          <w:szCs w:val="24"/>
        </w:rPr>
      </w:pPr>
      <w:r>
        <w:rPr>
          <w:sz w:val="24"/>
          <w:szCs w:val="24"/>
        </w:rPr>
        <w:t>2.1.1</w:t>
      </w:r>
      <w:r>
        <w:rPr>
          <w:sz w:val="24"/>
          <w:szCs w:val="24"/>
        </w:rPr>
        <w:tab/>
      </w:r>
      <w:r w:rsidR="0052003D" w:rsidRPr="0052003D">
        <w:rPr>
          <w:sz w:val="24"/>
          <w:szCs w:val="24"/>
          <w:highlight w:val="green"/>
        </w:rPr>
        <w:t>Detail any changes.</w:t>
      </w:r>
      <w:r w:rsidR="0052003D">
        <w:rPr>
          <w:sz w:val="24"/>
          <w:szCs w:val="24"/>
        </w:rPr>
        <w:t xml:space="preserve"> </w:t>
      </w:r>
    </w:p>
    <w:p w:rsidR="0052003D" w:rsidRDefault="0052003D" w:rsidP="0003402B">
      <w:pPr>
        <w:ind w:left="720" w:right="283" w:hanging="720"/>
        <w:rPr>
          <w:sz w:val="24"/>
          <w:szCs w:val="24"/>
        </w:rPr>
      </w:pPr>
    </w:p>
    <w:p w:rsidR="00964C12" w:rsidRPr="008233B2" w:rsidRDefault="00F435E4" w:rsidP="0003402B">
      <w:pPr>
        <w:ind w:left="720" w:right="283" w:hanging="720"/>
        <w:rPr>
          <w:sz w:val="24"/>
          <w:szCs w:val="24"/>
        </w:rPr>
      </w:pPr>
      <w:r w:rsidRPr="008233B2">
        <w:rPr>
          <w:sz w:val="24"/>
          <w:szCs w:val="24"/>
        </w:rPr>
        <w:lastRenderedPageBreak/>
        <w:t>2.2</w:t>
      </w:r>
      <w:r w:rsidRPr="008233B2">
        <w:rPr>
          <w:sz w:val="24"/>
          <w:szCs w:val="24"/>
        </w:rPr>
        <w:tab/>
      </w:r>
      <w:r w:rsidR="00F14331">
        <w:rPr>
          <w:sz w:val="24"/>
          <w:szCs w:val="24"/>
        </w:rPr>
        <w:t xml:space="preserve">A further change is required to the constitution </w:t>
      </w:r>
      <w:r w:rsidR="0052003D">
        <w:rPr>
          <w:sz w:val="24"/>
          <w:szCs w:val="24"/>
        </w:rPr>
        <w:t xml:space="preserve">– </w:t>
      </w:r>
      <w:r w:rsidR="0052003D" w:rsidRPr="0052003D">
        <w:rPr>
          <w:sz w:val="24"/>
          <w:szCs w:val="24"/>
          <w:highlight w:val="green"/>
        </w:rPr>
        <w:t>add any further changes requiring approval here</w:t>
      </w:r>
      <w:r w:rsidR="00534240" w:rsidRPr="0052003D">
        <w:rPr>
          <w:sz w:val="24"/>
          <w:szCs w:val="24"/>
          <w:highlight w:val="green"/>
        </w:rPr>
        <w:t>.</w:t>
      </w:r>
      <w:r w:rsidR="008F2CF7">
        <w:rPr>
          <w:sz w:val="24"/>
          <w:szCs w:val="24"/>
        </w:rPr>
        <w:t xml:space="preserve">  The Committee is requested to approve this change.</w:t>
      </w:r>
      <w:r w:rsidR="00D10B5B">
        <w:rPr>
          <w:sz w:val="24"/>
          <w:szCs w:val="24"/>
        </w:rPr>
        <w:t xml:space="preserve">  The revised constitution is attached at Appendix A.</w:t>
      </w:r>
    </w:p>
    <w:p w:rsidR="00964C12" w:rsidRPr="008233B2" w:rsidRDefault="00964C12" w:rsidP="0003402B">
      <w:pPr>
        <w:ind w:left="1515" w:right="283"/>
        <w:rPr>
          <w:sz w:val="24"/>
          <w:szCs w:val="24"/>
        </w:rPr>
      </w:pPr>
    </w:p>
    <w:p w:rsidR="008233B2" w:rsidRDefault="008233B2" w:rsidP="0003402B">
      <w:pPr>
        <w:ind w:right="283"/>
        <w:rPr>
          <w:b/>
          <w:sz w:val="24"/>
          <w:szCs w:val="24"/>
        </w:rPr>
      </w:pPr>
      <w:r>
        <w:rPr>
          <w:b/>
          <w:sz w:val="24"/>
          <w:szCs w:val="24"/>
        </w:rPr>
        <w:t>FORMAT OF MEETINGS</w:t>
      </w:r>
    </w:p>
    <w:p w:rsidR="008233B2" w:rsidRDefault="008233B2" w:rsidP="0003402B">
      <w:pPr>
        <w:ind w:right="283"/>
        <w:rPr>
          <w:b/>
          <w:sz w:val="24"/>
          <w:szCs w:val="24"/>
        </w:rPr>
      </w:pPr>
    </w:p>
    <w:p w:rsidR="008233B2" w:rsidRPr="008233B2" w:rsidRDefault="008233B2" w:rsidP="0003402B">
      <w:pPr>
        <w:ind w:left="720" w:right="283" w:hanging="720"/>
        <w:rPr>
          <w:sz w:val="24"/>
          <w:szCs w:val="24"/>
        </w:rPr>
      </w:pPr>
      <w:r w:rsidRPr="008233B2">
        <w:rPr>
          <w:sz w:val="24"/>
          <w:szCs w:val="24"/>
        </w:rPr>
        <w:t>2.</w:t>
      </w:r>
      <w:r w:rsidR="00534240">
        <w:rPr>
          <w:sz w:val="24"/>
          <w:szCs w:val="24"/>
        </w:rPr>
        <w:t>3</w:t>
      </w:r>
      <w:r w:rsidRPr="008233B2">
        <w:rPr>
          <w:sz w:val="24"/>
          <w:szCs w:val="24"/>
        </w:rPr>
        <w:tab/>
      </w:r>
      <w:r w:rsidR="00772EA5">
        <w:rPr>
          <w:sz w:val="24"/>
          <w:szCs w:val="24"/>
        </w:rPr>
        <w:t>A</w:t>
      </w:r>
      <w:r w:rsidR="008D6CCB" w:rsidRPr="0054060A">
        <w:rPr>
          <w:sz w:val="24"/>
          <w:szCs w:val="24"/>
        </w:rPr>
        <w:t xml:space="preserve"> minimum of </w:t>
      </w:r>
      <w:r w:rsidR="008D6CCB" w:rsidRPr="00663F8E">
        <w:rPr>
          <w:sz w:val="24"/>
          <w:szCs w:val="24"/>
          <w:highlight w:val="green"/>
        </w:rPr>
        <w:t>three</w:t>
      </w:r>
      <w:r w:rsidR="00663F8E" w:rsidRPr="00663F8E">
        <w:rPr>
          <w:sz w:val="24"/>
          <w:szCs w:val="24"/>
          <w:highlight w:val="green"/>
        </w:rPr>
        <w:t>/four</w:t>
      </w:r>
      <w:r w:rsidR="008D6CCB" w:rsidRPr="0054060A">
        <w:rPr>
          <w:sz w:val="24"/>
          <w:szCs w:val="24"/>
        </w:rPr>
        <w:t xml:space="preserve"> meetings are held per year</w:t>
      </w:r>
      <w:r w:rsidR="00AC13A3" w:rsidRPr="0054060A">
        <w:rPr>
          <w:sz w:val="24"/>
          <w:szCs w:val="24"/>
        </w:rPr>
        <w:t>.</w:t>
      </w:r>
      <w:r w:rsidR="008D6CCB" w:rsidRPr="0054060A">
        <w:rPr>
          <w:sz w:val="24"/>
          <w:szCs w:val="24"/>
        </w:rPr>
        <w:t xml:space="preserve"> Meetings are</w:t>
      </w:r>
      <w:r w:rsidR="00AC13A3" w:rsidRPr="0054060A">
        <w:rPr>
          <w:sz w:val="24"/>
          <w:szCs w:val="24"/>
        </w:rPr>
        <w:t xml:space="preserve"> publicly advertised on the Authority’s website</w:t>
      </w:r>
      <w:r w:rsidR="008D6CCB" w:rsidRPr="0054060A">
        <w:rPr>
          <w:sz w:val="24"/>
          <w:szCs w:val="24"/>
        </w:rPr>
        <w:t>.  T</w:t>
      </w:r>
      <w:r w:rsidR="00AC13A3" w:rsidRPr="0054060A">
        <w:rPr>
          <w:sz w:val="24"/>
          <w:szCs w:val="24"/>
        </w:rPr>
        <w:t xml:space="preserve">here have been no members of the public attending meetings </w:t>
      </w:r>
      <w:r w:rsidR="000A3594" w:rsidRPr="0054060A">
        <w:rPr>
          <w:sz w:val="24"/>
          <w:szCs w:val="24"/>
        </w:rPr>
        <w:t>to date</w:t>
      </w:r>
      <w:r w:rsidR="00AC13A3" w:rsidRPr="0054060A">
        <w:rPr>
          <w:sz w:val="24"/>
          <w:szCs w:val="24"/>
        </w:rPr>
        <w:t>. The meeting agenda and papers, together with the minutes of the previous meeting, are published on the Authority’s website one week prior to the meeting date.</w:t>
      </w:r>
      <w:r w:rsidR="00091412">
        <w:rPr>
          <w:sz w:val="24"/>
          <w:szCs w:val="24"/>
        </w:rPr>
        <w:t xml:space="preserve"> </w:t>
      </w:r>
      <w:r w:rsidR="00091412" w:rsidRPr="00091412">
        <w:rPr>
          <w:sz w:val="24"/>
          <w:szCs w:val="24"/>
          <w:highlight w:val="green"/>
        </w:rPr>
        <w:t>(Will need to review this paragraph out if Board not a public meeting)</w:t>
      </w:r>
    </w:p>
    <w:p w:rsidR="008233B2" w:rsidRPr="008233B2" w:rsidRDefault="008233B2" w:rsidP="0003402B">
      <w:pPr>
        <w:ind w:right="283"/>
        <w:rPr>
          <w:sz w:val="24"/>
          <w:szCs w:val="24"/>
        </w:rPr>
      </w:pPr>
    </w:p>
    <w:p w:rsidR="008233B2" w:rsidRPr="008233B2" w:rsidRDefault="008233B2" w:rsidP="0003402B">
      <w:pPr>
        <w:ind w:left="720" w:right="283" w:hanging="720"/>
        <w:rPr>
          <w:sz w:val="24"/>
          <w:szCs w:val="24"/>
        </w:rPr>
      </w:pPr>
      <w:r w:rsidRPr="008233B2">
        <w:rPr>
          <w:sz w:val="24"/>
          <w:szCs w:val="24"/>
        </w:rPr>
        <w:t>2.</w:t>
      </w:r>
      <w:r w:rsidR="00534240">
        <w:rPr>
          <w:sz w:val="24"/>
          <w:szCs w:val="24"/>
        </w:rPr>
        <w:t>4</w:t>
      </w:r>
      <w:r w:rsidRPr="008233B2">
        <w:rPr>
          <w:sz w:val="24"/>
          <w:szCs w:val="24"/>
        </w:rPr>
        <w:tab/>
      </w:r>
      <w:r w:rsidR="00AC13A3">
        <w:rPr>
          <w:sz w:val="24"/>
          <w:szCs w:val="24"/>
        </w:rPr>
        <w:t>Board members are required to declare any potential conflicts of interest to the Scheme Manager prior to each meeting, in line with the Local Firefighter Pension Board’s Conflicts of Interest Policy.</w:t>
      </w:r>
    </w:p>
    <w:p w:rsidR="008233B2" w:rsidRPr="008233B2" w:rsidRDefault="008233B2" w:rsidP="0003402B">
      <w:pPr>
        <w:ind w:right="283"/>
        <w:rPr>
          <w:sz w:val="24"/>
          <w:szCs w:val="24"/>
        </w:rPr>
      </w:pPr>
    </w:p>
    <w:p w:rsidR="008233B2" w:rsidRPr="008233B2" w:rsidRDefault="008233B2" w:rsidP="0003402B">
      <w:pPr>
        <w:ind w:left="709" w:right="283" w:hanging="709"/>
        <w:rPr>
          <w:sz w:val="24"/>
          <w:szCs w:val="24"/>
        </w:rPr>
      </w:pPr>
      <w:r w:rsidRPr="008233B2">
        <w:rPr>
          <w:sz w:val="24"/>
          <w:szCs w:val="24"/>
        </w:rPr>
        <w:t>2.</w:t>
      </w:r>
      <w:r w:rsidR="00534240">
        <w:rPr>
          <w:sz w:val="24"/>
          <w:szCs w:val="24"/>
        </w:rPr>
        <w:t>5</w:t>
      </w:r>
      <w:r w:rsidRPr="008233B2">
        <w:rPr>
          <w:sz w:val="24"/>
          <w:szCs w:val="24"/>
        </w:rPr>
        <w:tab/>
      </w:r>
      <w:r w:rsidR="00E42C3F">
        <w:rPr>
          <w:sz w:val="24"/>
          <w:szCs w:val="24"/>
        </w:rPr>
        <w:t>At the end of each meeting there is usually a training session for Board members on an aspect of pensions.</w:t>
      </w:r>
    </w:p>
    <w:p w:rsidR="008233B2" w:rsidRPr="008233B2" w:rsidRDefault="008233B2" w:rsidP="0003402B">
      <w:pPr>
        <w:ind w:right="283"/>
        <w:rPr>
          <w:sz w:val="24"/>
          <w:szCs w:val="24"/>
        </w:rPr>
      </w:pPr>
    </w:p>
    <w:p w:rsidR="008233B2" w:rsidRPr="008233B2" w:rsidRDefault="008233B2" w:rsidP="0003402B">
      <w:pPr>
        <w:ind w:left="720" w:right="283" w:hanging="720"/>
        <w:rPr>
          <w:sz w:val="24"/>
          <w:szCs w:val="24"/>
        </w:rPr>
      </w:pPr>
      <w:r w:rsidRPr="008233B2">
        <w:rPr>
          <w:sz w:val="24"/>
          <w:szCs w:val="24"/>
        </w:rPr>
        <w:t>2.</w:t>
      </w:r>
      <w:r w:rsidR="00534240">
        <w:rPr>
          <w:sz w:val="24"/>
          <w:szCs w:val="24"/>
        </w:rPr>
        <w:t>6</w:t>
      </w:r>
      <w:r w:rsidRPr="008233B2">
        <w:rPr>
          <w:sz w:val="24"/>
          <w:szCs w:val="24"/>
        </w:rPr>
        <w:tab/>
      </w:r>
      <w:r w:rsidR="00E42C3F">
        <w:rPr>
          <w:sz w:val="24"/>
          <w:szCs w:val="24"/>
        </w:rPr>
        <w:t>Minutes are taken at all meetings.</w:t>
      </w:r>
    </w:p>
    <w:p w:rsidR="008233B2" w:rsidRDefault="008233B2" w:rsidP="0003402B">
      <w:pPr>
        <w:ind w:right="283"/>
        <w:rPr>
          <w:b/>
          <w:sz w:val="24"/>
          <w:szCs w:val="24"/>
        </w:rPr>
      </w:pPr>
    </w:p>
    <w:p w:rsidR="008233B2" w:rsidRDefault="008233B2" w:rsidP="0003402B">
      <w:pPr>
        <w:ind w:right="283"/>
        <w:rPr>
          <w:b/>
          <w:sz w:val="24"/>
          <w:szCs w:val="24"/>
        </w:rPr>
      </w:pPr>
      <w:r>
        <w:rPr>
          <w:b/>
          <w:sz w:val="24"/>
          <w:szCs w:val="24"/>
        </w:rPr>
        <w:t>BOARD MEMBERSHIP</w:t>
      </w:r>
    </w:p>
    <w:p w:rsidR="008233B2" w:rsidRPr="008233B2" w:rsidRDefault="008233B2" w:rsidP="0003402B">
      <w:pPr>
        <w:ind w:right="283"/>
        <w:rPr>
          <w:sz w:val="24"/>
          <w:szCs w:val="24"/>
        </w:rPr>
      </w:pPr>
    </w:p>
    <w:p w:rsidR="008233B2" w:rsidRPr="008233B2" w:rsidRDefault="008233B2" w:rsidP="0003402B">
      <w:pPr>
        <w:ind w:left="720" w:right="283" w:hanging="720"/>
        <w:rPr>
          <w:sz w:val="24"/>
          <w:szCs w:val="24"/>
        </w:rPr>
      </w:pPr>
      <w:r w:rsidRPr="008233B2">
        <w:rPr>
          <w:sz w:val="24"/>
          <w:szCs w:val="24"/>
        </w:rPr>
        <w:t>2.</w:t>
      </w:r>
      <w:r w:rsidR="00AC13A3">
        <w:rPr>
          <w:sz w:val="24"/>
          <w:szCs w:val="24"/>
        </w:rPr>
        <w:t>7</w:t>
      </w:r>
      <w:r w:rsidRPr="008233B2">
        <w:rPr>
          <w:sz w:val="24"/>
          <w:szCs w:val="24"/>
        </w:rPr>
        <w:tab/>
      </w:r>
      <w:r w:rsidR="00BB62AA">
        <w:rPr>
          <w:sz w:val="24"/>
          <w:szCs w:val="24"/>
        </w:rPr>
        <w:t xml:space="preserve">As set out in the constitution, there is an equal number of employer and employee representatives on the </w:t>
      </w:r>
      <w:r w:rsidR="00FA3A26">
        <w:rPr>
          <w:sz w:val="24"/>
          <w:szCs w:val="24"/>
        </w:rPr>
        <w:t>B</w:t>
      </w:r>
      <w:r w:rsidR="00BB62AA">
        <w:rPr>
          <w:sz w:val="24"/>
          <w:szCs w:val="24"/>
        </w:rPr>
        <w:t>oard and there is now also one substitute member for each side.</w:t>
      </w:r>
      <w:r w:rsidR="00091412">
        <w:rPr>
          <w:sz w:val="24"/>
          <w:szCs w:val="24"/>
        </w:rPr>
        <w:t xml:space="preserve"> </w:t>
      </w:r>
      <w:r w:rsidR="00BB62AA">
        <w:rPr>
          <w:sz w:val="24"/>
          <w:szCs w:val="24"/>
        </w:rPr>
        <w:t xml:space="preserve">Substitute members are encouraged to attend meetings as observers, and they are able to act as </w:t>
      </w:r>
      <w:r w:rsidR="00FA3A26">
        <w:rPr>
          <w:sz w:val="24"/>
          <w:szCs w:val="24"/>
        </w:rPr>
        <w:t>B</w:t>
      </w:r>
      <w:r w:rsidR="00BB62AA">
        <w:rPr>
          <w:sz w:val="24"/>
          <w:szCs w:val="24"/>
        </w:rPr>
        <w:t>oard members in the absence of one of the full members. Substitute members are also invited to attend training sessions and this helps to improve knowledge and understanding of pensions issues.</w:t>
      </w:r>
      <w:r w:rsidR="00D10B5B" w:rsidRPr="00D10B5B">
        <w:rPr>
          <w:sz w:val="24"/>
          <w:szCs w:val="24"/>
          <w:highlight w:val="green"/>
        </w:rPr>
        <w:t xml:space="preserve"> </w:t>
      </w:r>
      <w:r w:rsidR="00D10B5B" w:rsidRPr="00091412">
        <w:rPr>
          <w:sz w:val="24"/>
          <w:szCs w:val="24"/>
          <w:highlight w:val="green"/>
        </w:rPr>
        <w:t>(Amend as necessary)</w:t>
      </w:r>
    </w:p>
    <w:p w:rsidR="008233B2" w:rsidRPr="008233B2" w:rsidRDefault="008233B2" w:rsidP="0003402B">
      <w:pPr>
        <w:ind w:right="283"/>
        <w:rPr>
          <w:sz w:val="24"/>
          <w:szCs w:val="24"/>
        </w:rPr>
      </w:pPr>
    </w:p>
    <w:p w:rsidR="00C1504B" w:rsidRDefault="008233B2" w:rsidP="0003402B">
      <w:pPr>
        <w:ind w:left="720" w:right="283" w:hanging="720"/>
        <w:rPr>
          <w:sz w:val="24"/>
          <w:szCs w:val="24"/>
        </w:rPr>
      </w:pPr>
      <w:r w:rsidRPr="00546DE1">
        <w:rPr>
          <w:sz w:val="24"/>
          <w:szCs w:val="24"/>
        </w:rPr>
        <w:t>2.</w:t>
      </w:r>
      <w:r w:rsidR="00AC13A3" w:rsidRPr="00546DE1">
        <w:rPr>
          <w:sz w:val="24"/>
          <w:szCs w:val="24"/>
        </w:rPr>
        <w:t>8</w:t>
      </w:r>
      <w:r w:rsidRPr="00546DE1">
        <w:rPr>
          <w:sz w:val="24"/>
          <w:szCs w:val="24"/>
        </w:rPr>
        <w:tab/>
      </w:r>
      <w:r w:rsidR="00BB62AA" w:rsidRPr="00546DE1">
        <w:rPr>
          <w:sz w:val="24"/>
          <w:szCs w:val="24"/>
        </w:rPr>
        <w:t>The Chair of the Local Firefighter Pension Board is currently a representative from the employe</w:t>
      </w:r>
      <w:r w:rsidR="00546DE1" w:rsidRPr="00546DE1">
        <w:rPr>
          <w:sz w:val="24"/>
          <w:szCs w:val="24"/>
        </w:rPr>
        <w:t>r</w:t>
      </w:r>
      <w:r w:rsidR="00BB62AA" w:rsidRPr="00546DE1">
        <w:rPr>
          <w:sz w:val="24"/>
          <w:szCs w:val="24"/>
        </w:rPr>
        <w:t xml:space="preserve"> side.</w:t>
      </w:r>
      <w:r w:rsidR="000A3594" w:rsidRPr="00546DE1">
        <w:rPr>
          <w:sz w:val="24"/>
          <w:szCs w:val="24"/>
        </w:rPr>
        <w:t xml:space="preserve"> The requirement to rotate the appointment of Chair is set out in the constitution.</w:t>
      </w:r>
      <w:bookmarkStart w:id="1" w:name="_Hlk519752755"/>
      <w:r w:rsidR="000A3594">
        <w:rPr>
          <w:sz w:val="24"/>
          <w:szCs w:val="24"/>
        </w:rPr>
        <w:t xml:space="preserve"> </w:t>
      </w:r>
      <w:r w:rsidR="00091412" w:rsidRPr="00091412">
        <w:rPr>
          <w:sz w:val="24"/>
          <w:szCs w:val="24"/>
          <w:highlight w:val="green"/>
        </w:rPr>
        <w:t>(Amend as necessary)</w:t>
      </w:r>
      <w:bookmarkEnd w:id="1"/>
    </w:p>
    <w:p w:rsidR="00546DE1" w:rsidRDefault="00546DE1" w:rsidP="0003402B">
      <w:pPr>
        <w:ind w:left="720" w:right="283" w:hanging="720"/>
        <w:rPr>
          <w:sz w:val="24"/>
          <w:szCs w:val="24"/>
        </w:rPr>
      </w:pPr>
    </w:p>
    <w:p w:rsidR="00C1504B" w:rsidRDefault="00C1504B" w:rsidP="0003402B">
      <w:pPr>
        <w:ind w:left="720" w:right="283" w:hanging="720"/>
        <w:rPr>
          <w:sz w:val="24"/>
          <w:szCs w:val="24"/>
        </w:rPr>
      </w:pPr>
      <w:r>
        <w:rPr>
          <w:sz w:val="24"/>
          <w:szCs w:val="24"/>
        </w:rPr>
        <w:t>2.9</w:t>
      </w:r>
      <w:r>
        <w:rPr>
          <w:sz w:val="24"/>
          <w:szCs w:val="24"/>
        </w:rPr>
        <w:tab/>
      </w:r>
      <w:r w:rsidR="00D10B5B" w:rsidRPr="00D10B5B">
        <w:rPr>
          <w:sz w:val="24"/>
          <w:szCs w:val="24"/>
          <w:highlight w:val="green"/>
        </w:rPr>
        <w:t>Update on any changes to Board membership</w:t>
      </w:r>
    </w:p>
    <w:p w:rsidR="00401D7F" w:rsidRPr="008233B2" w:rsidRDefault="00401D7F" w:rsidP="0003402B">
      <w:pPr>
        <w:ind w:left="720" w:right="283" w:hanging="720"/>
        <w:rPr>
          <w:sz w:val="24"/>
          <w:szCs w:val="24"/>
        </w:rPr>
      </w:pPr>
    </w:p>
    <w:p w:rsidR="008233B2" w:rsidRDefault="008233B2" w:rsidP="0003402B">
      <w:pPr>
        <w:ind w:right="283"/>
        <w:rPr>
          <w:b/>
          <w:sz w:val="24"/>
          <w:szCs w:val="24"/>
        </w:rPr>
      </w:pPr>
      <w:r>
        <w:rPr>
          <w:b/>
          <w:sz w:val="24"/>
          <w:szCs w:val="24"/>
        </w:rPr>
        <w:t>TRAINING</w:t>
      </w:r>
    </w:p>
    <w:p w:rsidR="008233B2" w:rsidRDefault="008233B2" w:rsidP="0003402B">
      <w:pPr>
        <w:ind w:right="283"/>
        <w:rPr>
          <w:b/>
          <w:sz w:val="24"/>
          <w:szCs w:val="24"/>
        </w:rPr>
      </w:pPr>
    </w:p>
    <w:p w:rsidR="008233B2" w:rsidRPr="008233B2" w:rsidRDefault="008233B2" w:rsidP="0003402B">
      <w:pPr>
        <w:ind w:left="720" w:right="283" w:hanging="720"/>
        <w:rPr>
          <w:sz w:val="24"/>
          <w:szCs w:val="24"/>
        </w:rPr>
      </w:pPr>
      <w:r w:rsidRPr="008233B2">
        <w:rPr>
          <w:sz w:val="24"/>
          <w:szCs w:val="24"/>
        </w:rPr>
        <w:t>2.</w:t>
      </w:r>
      <w:r w:rsidR="00291F6B">
        <w:rPr>
          <w:sz w:val="24"/>
          <w:szCs w:val="24"/>
        </w:rPr>
        <w:t>10</w:t>
      </w:r>
      <w:r w:rsidRPr="008233B2">
        <w:rPr>
          <w:sz w:val="24"/>
          <w:szCs w:val="24"/>
        </w:rPr>
        <w:tab/>
      </w:r>
      <w:r w:rsidR="000A3594">
        <w:rPr>
          <w:sz w:val="24"/>
          <w:szCs w:val="24"/>
        </w:rPr>
        <w:t xml:space="preserve">The Pensions Regulator has published a Code of Practice for the governance and administration of public service pension schemes and this code sets out the requirement for </w:t>
      </w:r>
      <w:r w:rsidR="00FA3A26">
        <w:rPr>
          <w:sz w:val="24"/>
          <w:szCs w:val="24"/>
        </w:rPr>
        <w:t>B</w:t>
      </w:r>
      <w:r w:rsidR="000A3594">
        <w:rPr>
          <w:sz w:val="24"/>
          <w:szCs w:val="24"/>
        </w:rPr>
        <w:t xml:space="preserve">oard members to achieve and maintain knowledge and understanding sufficient to enable them to carry out the role of </w:t>
      </w:r>
      <w:r w:rsidR="00FA3A26">
        <w:rPr>
          <w:sz w:val="24"/>
          <w:szCs w:val="24"/>
        </w:rPr>
        <w:t>B</w:t>
      </w:r>
      <w:r w:rsidR="000A3594">
        <w:rPr>
          <w:sz w:val="24"/>
          <w:szCs w:val="24"/>
        </w:rPr>
        <w:t>oard member</w:t>
      </w:r>
      <w:r w:rsidR="001841AC">
        <w:rPr>
          <w:sz w:val="24"/>
          <w:szCs w:val="24"/>
        </w:rPr>
        <w:t>.</w:t>
      </w:r>
    </w:p>
    <w:p w:rsidR="008233B2" w:rsidRPr="008233B2" w:rsidRDefault="008233B2" w:rsidP="0003402B">
      <w:pPr>
        <w:ind w:right="283"/>
        <w:rPr>
          <w:sz w:val="24"/>
          <w:szCs w:val="24"/>
        </w:rPr>
      </w:pPr>
    </w:p>
    <w:p w:rsidR="008233B2" w:rsidRPr="00C1504B" w:rsidRDefault="008233B2" w:rsidP="0003402B">
      <w:pPr>
        <w:ind w:left="720" w:right="283" w:hanging="720"/>
        <w:rPr>
          <w:sz w:val="24"/>
          <w:szCs w:val="24"/>
        </w:rPr>
      </w:pPr>
      <w:r w:rsidRPr="00C1504B">
        <w:rPr>
          <w:sz w:val="24"/>
          <w:szCs w:val="24"/>
        </w:rPr>
        <w:t>2.</w:t>
      </w:r>
      <w:r w:rsidR="00BB62AA" w:rsidRPr="00C1504B">
        <w:rPr>
          <w:sz w:val="24"/>
          <w:szCs w:val="24"/>
        </w:rPr>
        <w:t>1</w:t>
      </w:r>
      <w:r w:rsidR="00291F6B">
        <w:rPr>
          <w:sz w:val="24"/>
          <w:szCs w:val="24"/>
        </w:rPr>
        <w:t>1</w:t>
      </w:r>
      <w:r w:rsidR="00C1504B" w:rsidRPr="00C1504B">
        <w:rPr>
          <w:sz w:val="24"/>
          <w:szCs w:val="24"/>
        </w:rPr>
        <w:tab/>
        <w:t>T</w:t>
      </w:r>
      <w:r w:rsidR="000A3594" w:rsidRPr="00C1504B">
        <w:rPr>
          <w:sz w:val="24"/>
          <w:szCs w:val="24"/>
        </w:rPr>
        <w:t xml:space="preserve">here have been a number of training sessions delivered to the </w:t>
      </w:r>
      <w:r w:rsidR="00FA3A26" w:rsidRPr="00C1504B">
        <w:rPr>
          <w:sz w:val="24"/>
          <w:szCs w:val="24"/>
        </w:rPr>
        <w:t>B</w:t>
      </w:r>
      <w:r w:rsidR="000A3594" w:rsidRPr="00C1504B">
        <w:rPr>
          <w:sz w:val="24"/>
          <w:szCs w:val="24"/>
        </w:rPr>
        <w:t>oard, including: regional training presented by the LGA’s fire pensions adviser; the opportunity to attend the annual LGA Fire Pensions Conference;</w:t>
      </w:r>
      <w:r w:rsidR="00772EA5">
        <w:rPr>
          <w:sz w:val="24"/>
          <w:szCs w:val="24"/>
        </w:rPr>
        <w:t xml:space="preserve"> Regional training;</w:t>
      </w:r>
      <w:r w:rsidR="000A3594" w:rsidRPr="00C1504B">
        <w:rPr>
          <w:sz w:val="24"/>
          <w:szCs w:val="24"/>
        </w:rPr>
        <w:t xml:space="preserve"> training presented by the Authority’s pension </w:t>
      </w:r>
      <w:r w:rsidR="000A3594" w:rsidRPr="00C1504B">
        <w:rPr>
          <w:sz w:val="24"/>
          <w:szCs w:val="24"/>
        </w:rPr>
        <w:lastRenderedPageBreak/>
        <w:t>administrator and training</w:t>
      </w:r>
      <w:r w:rsidR="00EB7B54">
        <w:rPr>
          <w:sz w:val="24"/>
          <w:szCs w:val="24"/>
        </w:rPr>
        <w:t xml:space="preserve"> at each Board meeting</w:t>
      </w:r>
      <w:r w:rsidR="000A3594" w:rsidRPr="00C1504B">
        <w:rPr>
          <w:sz w:val="24"/>
          <w:szCs w:val="24"/>
        </w:rPr>
        <w:t>.</w:t>
      </w:r>
      <w:r w:rsidR="00C1504B" w:rsidRPr="00C1504B">
        <w:rPr>
          <w:sz w:val="24"/>
          <w:szCs w:val="24"/>
        </w:rPr>
        <w:t xml:space="preserve">  There is online training available on the Pension Regulator website which members of the Boa</w:t>
      </w:r>
      <w:r w:rsidR="00EB7B54">
        <w:rPr>
          <w:sz w:val="24"/>
          <w:szCs w:val="24"/>
        </w:rPr>
        <w:t>rd are encouraged to complete.</w:t>
      </w:r>
      <w:r w:rsidR="00D10B5B">
        <w:rPr>
          <w:sz w:val="24"/>
          <w:szCs w:val="24"/>
        </w:rPr>
        <w:t xml:space="preserve"> </w:t>
      </w:r>
      <w:r w:rsidR="00D10B5B" w:rsidRPr="00D10B5B">
        <w:rPr>
          <w:sz w:val="24"/>
          <w:szCs w:val="24"/>
          <w:highlight w:val="green"/>
        </w:rPr>
        <w:t>(Amend as necessary)</w:t>
      </w:r>
    </w:p>
    <w:p w:rsidR="008233B2" w:rsidRPr="002307EC" w:rsidRDefault="008233B2" w:rsidP="0003402B">
      <w:pPr>
        <w:ind w:right="283"/>
        <w:rPr>
          <w:sz w:val="24"/>
          <w:szCs w:val="24"/>
          <w:highlight w:val="yellow"/>
        </w:rPr>
      </w:pPr>
    </w:p>
    <w:p w:rsidR="008233B2" w:rsidRPr="008233B2" w:rsidRDefault="008233B2" w:rsidP="0003402B">
      <w:pPr>
        <w:ind w:left="720" w:right="283" w:hanging="720"/>
        <w:rPr>
          <w:sz w:val="24"/>
          <w:szCs w:val="24"/>
        </w:rPr>
      </w:pPr>
      <w:r w:rsidRPr="00C1504B">
        <w:rPr>
          <w:sz w:val="24"/>
          <w:szCs w:val="24"/>
        </w:rPr>
        <w:t>2.</w:t>
      </w:r>
      <w:r w:rsidR="00291F6B">
        <w:rPr>
          <w:sz w:val="24"/>
          <w:szCs w:val="24"/>
        </w:rPr>
        <w:t>12</w:t>
      </w:r>
      <w:r w:rsidR="000A3594" w:rsidRPr="00C1504B">
        <w:rPr>
          <w:sz w:val="24"/>
          <w:szCs w:val="24"/>
        </w:rPr>
        <w:tab/>
        <w:t xml:space="preserve">Membership of the </w:t>
      </w:r>
      <w:r w:rsidR="00FA3A26" w:rsidRPr="00C1504B">
        <w:rPr>
          <w:sz w:val="24"/>
          <w:szCs w:val="24"/>
        </w:rPr>
        <w:t>B</w:t>
      </w:r>
      <w:r w:rsidR="000A3594" w:rsidRPr="00C1504B">
        <w:rPr>
          <w:sz w:val="24"/>
          <w:szCs w:val="24"/>
        </w:rPr>
        <w:t xml:space="preserve">oard has changed due to the retirement of one </w:t>
      </w:r>
      <w:r w:rsidR="00FA3A26" w:rsidRPr="00C1504B">
        <w:rPr>
          <w:sz w:val="24"/>
          <w:szCs w:val="24"/>
        </w:rPr>
        <w:t>B</w:t>
      </w:r>
      <w:r w:rsidR="000A3594" w:rsidRPr="00C1504B">
        <w:rPr>
          <w:sz w:val="24"/>
          <w:szCs w:val="24"/>
        </w:rPr>
        <w:t>oard membe</w:t>
      </w:r>
      <w:r w:rsidR="004E14C7" w:rsidRPr="00C1504B">
        <w:rPr>
          <w:sz w:val="24"/>
          <w:szCs w:val="24"/>
        </w:rPr>
        <w:t>r</w:t>
      </w:r>
      <w:r w:rsidR="00C1504B" w:rsidRPr="00C1504B">
        <w:rPr>
          <w:sz w:val="24"/>
          <w:szCs w:val="24"/>
        </w:rPr>
        <w:t>.</w:t>
      </w:r>
      <w:r w:rsidR="004E14C7" w:rsidRPr="00C1504B">
        <w:rPr>
          <w:sz w:val="24"/>
          <w:szCs w:val="24"/>
        </w:rPr>
        <w:t xml:space="preserve"> </w:t>
      </w:r>
      <w:r w:rsidR="00C1504B" w:rsidRPr="00C1504B">
        <w:rPr>
          <w:sz w:val="24"/>
          <w:szCs w:val="24"/>
        </w:rPr>
        <w:t>O</w:t>
      </w:r>
      <w:r w:rsidR="004E14C7" w:rsidRPr="00C1504B">
        <w:rPr>
          <w:sz w:val="24"/>
          <w:szCs w:val="24"/>
        </w:rPr>
        <w:t xml:space="preserve">ne to one training for new </w:t>
      </w:r>
      <w:r w:rsidR="00FA3A26" w:rsidRPr="00C1504B">
        <w:rPr>
          <w:sz w:val="24"/>
          <w:szCs w:val="24"/>
        </w:rPr>
        <w:t>B</w:t>
      </w:r>
      <w:r w:rsidR="004E14C7" w:rsidRPr="00C1504B">
        <w:rPr>
          <w:sz w:val="24"/>
          <w:szCs w:val="24"/>
        </w:rPr>
        <w:t>oard members and substi</w:t>
      </w:r>
      <w:r w:rsidR="00C1504B" w:rsidRPr="00C1504B">
        <w:rPr>
          <w:sz w:val="24"/>
          <w:szCs w:val="24"/>
        </w:rPr>
        <w:t>tute members is</w:t>
      </w:r>
      <w:r w:rsidR="004E14C7" w:rsidRPr="00C1504B">
        <w:rPr>
          <w:sz w:val="24"/>
          <w:szCs w:val="24"/>
        </w:rPr>
        <w:t xml:space="preserve"> provided by the Scheme Manager, focussing on key areas</w:t>
      </w:r>
      <w:r w:rsidR="00FA3A26" w:rsidRPr="00C1504B">
        <w:rPr>
          <w:sz w:val="24"/>
          <w:szCs w:val="24"/>
        </w:rPr>
        <w:t xml:space="preserve"> concerning pensions</w:t>
      </w:r>
      <w:r w:rsidR="004E14C7" w:rsidRPr="00C1504B">
        <w:rPr>
          <w:sz w:val="24"/>
          <w:szCs w:val="24"/>
        </w:rPr>
        <w:t>.</w:t>
      </w:r>
      <w:r w:rsidR="00D10B5B">
        <w:rPr>
          <w:sz w:val="24"/>
          <w:szCs w:val="24"/>
        </w:rPr>
        <w:t xml:space="preserve">  </w:t>
      </w:r>
      <w:r w:rsidR="00D10B5B" w:rsidRPr="00D10B5B">
        <w:rPr>
          <w:sz w:val="24"/>
          <w:szCs w:val="24"/>
          <w:highlight w:val="green"/>
        </w:rPr>
        <w:t>(Amend as necessary)</w:t>
      </w:r>
    </w:p>
    <w:p w:rsidR="008233B2" w:rsidRPr="008233B2" w:rsidRDefault="008233B2" w:rsidP="0003402B">
      <w:pPr>
        <w:ind w:right="283"/>
        <w:rPr>
          <w:sz w:val="24"/>
          <w:szCs w:val="24"/>
        </w:rPr>
      </w:pPr>
    </w:p>
    <w:p w:rsidR="008233B2" w:rsidRPr="008233B2" w:rsidRDefault="008233B2" w:rsidP="0003402B">
      <w:pPr>
        <w:ind w:left="720" w:right="283" w:hanging="720"/>
        <w:rPr>
          <w:sz w:val="24"/>
          <w:szCs w:val="24"/>
        </w:rPr>
      </w:pPr>
      <w:r w:rsidRPr="008233B2">
        <w:rPr>
          <w:sz w:val="24"/>
          <w:szCs w:val="24"/>
        </w:rPr>
        <w:t>2.1</w:t>
      </w:r>
      <w:r w:rsidR="00291F6B">
        <w:rPr>
          <w:sz w:val="24"/>
          <w:szCs w:val="24"/>
        </w:rPr>
        <w:t>3</w:t>
      </w:r>
      <w:r w:rsidR="004E14C7">
        <w:rPr>
          <w:sz w:val="24"/>
          <w:szCs w:val="24"/>
        </w:rPr>
        <w:tab/>
        <w:t xml:space="preserve">Each </w:t>
      </w:r>
      <w:r w:rsidR="00FA3A26">
        <w:rPr>
          <w:sz w:val="24"/>
          <w:szCs w:val="24"/>
        </w:rPr>
        <w:t>B</w:t>
      </w:r>
      <w:r w:rsidR="004E14C7">
        <w:rPr>
          <w:sz w:val="24"/>
          <w:szCs w:val="24"/>
        </w:rPr>
        <w:t xml:space="preserve">oard member has completed a training needs analysis and the </w:t>
      </w:r>
      <w:r w:rsidR="00FA3A26">
        <w:rPr>
          <w:sz w:val="24"/>
          <w:szCs w:val="24"/>
        </w:rPr>
        <w:t>B</w:t>
      </w:r>
      <w:r w:rsidR="004E14C7">
        <w:rPr>
          <w:sz w:val="24"/>
          <w:szCs w:val="24"/>
        </w:rPr>
        <w:t>oard has a Training Policy. A record of all training is maintained by the Scheme Manager</w:t>
      </w:r>
      <w:r w:rsidR="007E5C23">
        <w:rPr>
          <w:sz w:val="24"/>
          <w:szCs w:val="24"/>
        </w:rPr>
        <w:t>.</w:t>
      </w:r>
      <w:r w:rsidR="004E14C7">
        <w:rPr>
          <w:sz w:val="24"/>
          <w:szCs w:val="24"/>
        </w:rPr>
        <w:t xml:space="preserve"> </w:t>
      </w:r>
    </w:p>
    <w:p w:rsidR="008233B2" w:rsidRPr="008233B2" w:rsidRDefault="008233B2" w:rsidP="0003402B">
      <w:pPr>
        <w:ind w:right="283"/>
        <w:rPr>
          <w:sz w:val="24"/>
          <w:szCs w:val="24"/>
        </w:rPr>
      </w:pPr>
    </w:p>
    <w:p w:rsidR="008233B2" w:rsidRDefault="008233B2" w:rsidP="0003402B">
      <w:pPr>
        <w:ind w:right="283"/>
        <w:rPr>
          <w:b/>
          <w:sz w:val="24"/>
          <w:szCs w:val="24"/>
        </w:rPr>
      </w:pPr>
      <w:r>
        <w:rPr>
          <w:b/>
          <w:sz w:val="24"/>
          <w:szCs w:val="24"/>
        </w:rPr>
        <w:t>BOARD ACTIVITY</w:t>
      </w:r>
    </w:p>
    <w:p w:rsidR="008233B2" w:rsidRDefault="008233B2" w:rsidP="0003402B">
      <w:pPr>
        <w:ind w:right="283"/>
        <w:rPr>
          <w:b/>
          <w:sz w:val="24"/>
          <w:szCs w:val="24"/>
        </w:rPr>
      </w:pPr>
    </w:p>
    <w:p w:rsidR="008233B2" w:rsidRPr="008233B2" w:rsidRDefault="00291F6B" w:rsidP="0003402B">
      <w:pPr>
        <w:ind w:left="720" w:right="283" w:hanging="720"/>
        <w:rPr>
          <w:sz w:val="24"/>
          <w:szCs w:val="24"/>
        </w:rPr>
      </w:pPr>
      <w:r>
        <w:rPr>
          <w:sz w:val="24"/>
          <w:szCs w:val="24"/>
        </w:rPr>
        <w:t>2.14</w:t>
      </w:r>
      <w:r w:rsidR="008233B2" w:rsidRPr="008233B2">
        <w:rPr>
          <w:sz w:val="24"/>
          <w:szCs w:val="24"/>
        </w:rPr>
        <w:tab/>
      </w:r>
      <w:r w:rsidR="00810D67">
        <w:rPr>
          <w:sz w:val="24"/>
          <w:szCs w:val="24"/>
        </w:rPr>
        <w:t xml:space="preserve">Since the Local Firefighter Pension Board was set up in 2015, the work of the </w:t>
      </w:r>
      <w:r w:rsidR="00FA3A26">
        <w:rPr>
          <w:sz w:val="24"/>
          <w:szCs w:val="24"/>
        </w:rPr>
        <w:t>B</w:t>
      </w:r>
      <w:r w:rsidR="00810D67">
        <w:rPr>
          <w:sz w:val="24"/>
          <w:szCs w:val="24"/>
        </w:rPr>
        <w:t xml:space="preserve">oard has been shaped by the </w:t>
      </w:r>
      <w:r w:rsidR="00FA3A26">
        <w:rPr>
          <w:sz w:val="24"/>
          <w:szCs w:val="24"/>
        </w:rPr>
        <w:t>B</w:t>
      </w:r>
      <w:r w:rsidR="00810D67">
        <w:rPr>
          <w:sz w:val="24"/>
          <w:szCs w:val="24"/>
        </w:rPr>
        <w:t xml:space="preserve">oard members and by Officers supporting the </w:t>
      </w:r>
      <w:r w:rsidR="00FA3A26">
        <w:rPr>
          <w:sz w:val="24"/>
          <w:szCs w:val="24"/>
        </w:rPr>
        <w:t>B</w:t>
      </w:r>
      <w:r w:rsidR="00810D67">
        <w:rPr>
          <w:sz w:val="24"/>
          <w:szCs w:val="24"/>
        </w:rPr>
        <w:t xml:space="preserve">oard. </w:t>
      </w:r>
    </w:p>
    <w:p w:rsidR="008233B2" w:rsidRPr="008233B2" w:rsidRDefault="008233B2" w:rsidP="0003402B">
      <w:pPr>
        <w:ind w:right="283"/>
        <w:rPr>
          <w:sz w:val="24"/>
          <w:szCs w:val="24"/>
        </w:rPr>
      </w:pPr>
    </w:p>
    <w:p w:rsidR="00810D67" w:rsidRDefault="008233B2" w:rsidP="0003402B">
      <w:pPr>
        <w:ind w:left="720" w:right="283" w:hanging="720"/>
        <w:rPr>
          <w:sz w:val="24"/>
          <w:szCs w:val="24"/>
        </w:rPr>
      </w:pPr>
      <w:r w:rsidRPr="008233B2">
        <w:rPr>
          <w:sz w:val="24"/>
          <w:szCs w:val="24"/>
        </w:rPr>
        <w:t>2</w:t>
      </w:r>
      <w:r w:rsidR="00291F6B">
        <w:rPr>
          <w:sz w:val="24"/>
          <w:szCs w:val="24"/>
        </w:rPr>
        <w:t>.15</w:t>
      </w:r>
      <w:r w:rsidR="00810D67">
        <w:rPr>
          <w:sz w:val="24"/>
          <w:szCs w:val="24"/>
        </w:rPr>
        <w:tab/>
        <w:t xml:space="preserve">Some regular reports to the </w:t>
      </w:r>
      <w:r w:rsidR="00FA3A26">
        <w:rPr>
          <w:sz w:val="24"/>
          <w:szCs w:val="24"/>
        </w:rPr>
        <w:t>B</w:t>
      </w:r>
      <w:r w:rsidR="00810D67">
        <w:rPr>
          <w:sz w:val="24"/>
          <w:szCs w:val="24"/>
        </w:rPr>
        <w:t>oard have been developed and these are:</w:t>
      </w:r>
    </w:p>
    <w:p w:rsidR="00810D67" w:rsidRDefault="00810D67" w:rsidP="0003402B">
      <w:pPr>
        <w:ind w:left="720" w:right="283" w:hanging="720"/>
        <w:rPr>
          <w:sz w:val="24"/>
          <w:szCs w:val="24"/>
        </w:rPr>
      </w:pPr>
    </w:p>
    <w:p w:rsidR="008233B2" w:rsidRDefault="00291F6B" w:rsidP="0003402B">
      <w:pPr>
        <w:ind w:left="1440" w:right="283" w:hanging="720"/>
        <w:rPr>
          <w:sz w:val="24"/>
          <w:szCs w:val="24"/>
        </w:rPr>
      </w:pPr>
      <w:r>
        <w:rPr>
          <w:sz w:val="24"/>
          <w:szCs w:val="24"/>
        </w:rPr>
        <w:t>2.15.1</w:t>
      </w:r>
      <w:r>
        <w:rPr>
          <w:sz w:val="24"/>
          <w:szCs w:val="24"/>
        </w:rPr>
        <w:tab/>
        <w:t>A</w:t>
      </w:r>
      <w:r w:rsidR="00810D67">
        <w:rPr>
          <w:sz w:val="24"/>
          <w:szCs w:val="24"/>
        </w:rPr>
        <w:t xml:space="preserve"> report</w:t>
      </w:r>
      <w:r w:rsidRPr="00291F6B">
        <w:rPr>
          <w:sz w:val="24"/>
          <w:szCs w:val="24"/>
        </w:rPr>
        <w:t xml:space="preserve"> </w:t>
      </w:r>
      <w:r>
        <w:rPr>
          <w:sz w:val="24"/>
          <w:szCs w:val="24"/>
        </w:rPr>
        <w:t>entitled “Current Pensions Issues” which provides the Board with the latest information on areas of significant pension work, and includes both local and national issues. As well as enhancing the knowledge and understanding of Board members, this regular report serves to prompt discussion at the Board about the impact of issues on pension scheme members and about how workloads are being managed. This helps to achieve the Board’s purpose of securing effective governance and administration</w:t>
      </w:r>
      <w:r w:rsidR="00EB7B54">
        <w:rPr>
          <w:sz w:val="24"/>
          <w:szCs w:val="24"/>
        </w:rPr>
        <w:t>.  The report includes an appendix on statistical information on scheme membership called Pension Metrics</w:t>
      </w:r>
      <w:r w:rsidR="008960AB">
        <w:rPr>
          <w:sz w:val="24"/>
          <w:szCs w:val="24"/>
        </w:rPr>
        <w:t>;</w:t>
      </w:r>
    </w:p>
    <w:p w:rsidR="00810D67" w:rsidRDefault="00810D67" w:rsidP="00772EA5">
      <w:pPr>
        <w:ind w:right="283"/>
        <w:rPr>
          <w:sz w:val="24"/>
          <w:szCs w:val="24"/>
        </w:rPr>
      </w:pPr>
    </w:p>
    <w:p w:rsidR="00810D67" w:rsidRDefault="00291F6B" w:rsidP="0003402B">
      <w:pPr>
        <w:ind w:left="1440" w:right="283" w:hanging="720"/>
        <w:rPr>
          <w:sz w:val="24"/>
          <w:szCs w:val="24"/>
        </w:rPr>
      </w:pPr>
      <w:r>
        <w:rPr>
          <w:sz w:val="24"/>
          <w:szCs w:val="24"/>
        </w:rPr>
        <w:t>2.15</w:t>
      </w:r>
      <w:r w:rsidR="00810D67">
        <w:rPr>
          <w:sz w:val="24"/>
          <w:szCs w:val="24"/>
        </w:rPr>
        <w:t>.</w:t>
      </w:r>
      <w:r w:rsidR="00772EA5">
        <w:rPr>
          <w:sz w:val="24"/>
          <w:szCs w:val="24"/>
        </w:rPr>
        <w:t>2</w:t>
      </w:r>
      <w:r w:rsidR="00810D67">
        <w:rPr>
          <w:sz w:val="24"/>
          <w:szCs w:val="24"/>
        </w:rPr>
        <w:tab/>
        <w:t>A report on the pension fund</w:t>
      </w:r>
      <w:r w:rsidR="00FA3A26">
        <w:rPr>
          <w:sz w:val="24"/>
          <w:szCs w:val="24"/>
        </w:rPr>
        <w:t xml:space="preserve"> financial</w:t>
      </w:r>
      <w:r w:rsidR="00810D67">
        <w:rPr>
          <w:sz w:val="24"/>
          <w:szCs w:val="24"/>
        </w:rPr>
        <w:t xml:space="preserve"> position at the end of the year is presented to the next </w:t>
      </w:r>
      <w:r w:rsidR="00FA3A26">
        <w:rPr>
          <w:sz w:val="24"/>
          <w:szCs w:val="24"/>
        </w:rPr>
        <w:t>B</w:t>
      </w:r>
      <w:r w:rsidR="00810D67">
        <w:rPr>
          <w:sz w:val="24"/>
          <w:szCs w:val="24"/>
        </w:rPr>
        <w:t>oard meeting</w:t>
      </w:r>
      <w:r w:rsidR="00CE6A76">
        <w:rPr>
          <w:sz w:val="24"/>
          <w:szCs w:val="24"/>
        </w:rPr>
        <w:t xml:space="preserve"> following the </w:t>
      </w:r>
      <w:r w:rsidR="00FA3A26">
        <w:rPr>
          <w:sz w:val="24"/>
          <w:szCs w:val="24"/>
        </w:rPr>
        <w:t xml:space="preserve">financial </w:t>
      </w:r>
      <w:r w:rsidR="00CE6A76">
        <w:rPr>
          <w:sz w:val="24"/>
          <w:szCs w:val="24"/>
        </w:rPr>
        <w:t>year end</w:t>
      </w:r>
      <w:r w:rsidR="00FA3A26">
        <w:rPr>
          <w:sz w:val="24"/>
          <w:szCs w:val="24"/>
        </w:rPr>
        <w:t>, and this gives the B</w:t>
      </w:r>
      <w:r w:rsidR="00810D67">
        <w:rPr>
          <w:sz w:val="24"/>
          <w:szCs w:val="24"/>
        </w:rPr>
        <w:t xml:space="preserve">oard the financial context </w:t>
      </w:r>
      <w:r w:rsidR="00CE6A76">
        <w:rPr>
          <w:sz w:val="24"/>
          <w:szCs w:val="24"/>
        </w:rPr>
        <w:t>for</w:t>
      </w:r>
      <w:r w:rsidR="00810D67">
        <w:rPr>
          <w:sz w:val="24"/>
          <w:szCs w:val="24"/>
        </w:rPr>
        <w:t xml:space="preserve"> the pension schemes;</w:t>
      </w:r>
    </w:p>
    <w:p w:rsidR="00810D67" w:rsidRDefault="00810D67" w:rsidP="0003402B">
      <w:pPr>
        <w:ind w:left="1440" w:right="283" w:hanging="720"/>
        <w:rPr>
          <w:sz w:val="24"/>
          <w:szCs w:val="24"/>
        </w:rPr>
      </w:pPr>
    </w:p>
    <w:p w:rsidR="00810D67" w:rsidRDefault="00291F6B" w:rsidP="0003402B">
      <w:pPr>
        <w:ind w:left="1440" w:right="283" w:hanging="720"/>
        <w:rPr>
          <w:sz w:val="24"/>
          <w:szCs w:val="24"/>
        </w:rPr>
      </w:pPr>
      <w:r>
        <w:rPr>
          <w:sz w:val="24"/>
          <w:szCs w:val="24"/>
        </w:rPr>
        <w:t>2.15</w:t>
      </w:r>
      <w:r w:rsidR="00810D67">
        <w:rPr>
          <w:sz w:val="24"/>
          <w:szCs w:val="24"/>
        </w:rPr>
        <w:t>.</w:t>
      </w:r>
      <w:r w:rsidR="00772EA5">
        <w:rPr>
          <w:sz w:val="24"/>
          <w:szCs w:val="24"/>
        </w:rPr>
        <w:t>3</w:t>
      </w:r>
      <w:r w:rsidR="00810D67">
        <w:rPr>
          <w:sz w:val="24"/>
          <w:szCs w:val="24"/>
        </w:rPr>
        <w:tab/>
      </w:r>
      <w:r w:rsidR="002307EC">
        <w:rPr>
          <w:sz w:val="24"/>
          <w:szCs w:val="24"/>
        </w:rPr>
        <w:t>A report</w:t>
      </w:r>
      <w:r w:rsidR="00CE6A76">
        <w:rPr>
          <w:sz w:val="24"/>
          <w:szCs w:val="24"/>
        </w:rPr>
        <w:t xml:space="preserve"> </w:t>
      </w:r>
      <w:r>
        <w:rPr>
          <w:sz w:val="24"/>
          <w:szCs w:val="24"/>
        </w:rPr>
        <w:t xml:space="preserve">presented to each meeting </w:t>
      </w:r>
      <w:r w:rsidR="00EB7B54">
        <w:rPr>
          <w:sz w:val="24"/>
          <w:szCs w:val="24"/>
        </w:rPr>
        <w:t>on the Firefighter Pension Risk Register.  The risk register is reviewed regularly by the Scheme Manager and is presented to the</w:t>
      </w:r>
      <w:r w:rsidR="000516FD">
        <w:rPr>
          <w:sz w:val="24"/>
          <w:szCs w:val="24"/>
        </w:rPr>
        <w:t xml:space="preserve"> Board at each meeting, with any</w:t>
      </w:r>
      <w:r w:rsidR="00EB7B54">
        <w:rPr>
          <w:sz w:val="24"/>
          <w:szCs w:val="24"/>
        </w:rPr>
        <w:t xml:space="preserve"> amendments highlighted. This allows the Board to keep track of the key risks and the control measures designed to manage those risks.</w:t>
      </w:r>
    </w:p>
    <w:p w:rsidR="00291F6B" w:rsidRDefault="00291F6B" w:rsidP="0003402B">
      <w:pPr>
        <w:ind w:left="720" w:right="283" w:hanging="720"/>
        <w:rPr>
          <w:sz w:val="24"/>
          <w:szCs w:val="24"/>
        </w:rPr>
      </w:pPr>
    </w:p>
    <w:p w:rsidR="00FA5915" w:rsidRDefault="009D3390" w:rsidP="0003402B">
      <w:pPr>
        <w:ind w:left="720" w:right="283" w:hanging="720"/>
        <w:rPr>
          <w:sz w:val="24"/>
          <w:szCs w:val="24"/>
        </w:rPr>
      </w:pPr>
      <w:r>
        <w:rPr>
          <w:sz w:val="24"/>
          <w:szCs w:val="24"/>
        </w:rPr>
        <w:t>2.16</w:t>
      </w:r>
      <w:r w:rsidR="00FA5915">
        <w:rPr>
          <w:sz w:val="24"/>
          <w:szCs w:val="24"/>
        </w:rPr>
        <w:tab/>
        <w:t xml:space="preserve">Other areas of governance which have been discussed at </w:t>
      </w:r>
      <w:r w:rsidR="00FA3A26">
        <w:rPr>
          <w:sz w:val="24"/>
          <w:szCs w:val="24"/>
        </w:rPr>
        <w:t>B</w:t>
      </w:r>
      <w:r w:rsidR="00FA5915">
        <w:rPr>
          <w:sz w:val="24"/>
          <w:szCs w:val="24"/>
        </w:rPr>
        <w:t>oard meetings include:</w:t>
      </w:r>
    </w:p>
    <w:p w:rsidR="00FA5915" w:rsidRDefault="00FA5915" w:rsidP="0003402B">
      <w:pPr>
        <w:ind w:left="720" w:right="283" w:hanging="720"/>
        <w:rPr>
          <w:sz w:val="24"/>
          <w:szCs w:val="24"/>
        </w:rPr>
      </w:pPr>
    </w:p>
    <w:p w:rsidR="00FA5915" w:rsidRDefault="009D3390" w:rsidP="0003402B">
      <w:pPr>
        <w:ind w:left="1440" w:right="283" w:hanging="720"/>
        <w:rPr>
          <w:sz w:val="24"/>
          <w:szCs w:val="24"/>
        </w:rPr>
      </w:pPr>
      <w:r>
        <w:rPr>
          <w:sz w:val="24"/>
          <w:szCs w:val="24"/>
        </w:rPr>
        <w:t>2.16</w:t>
      </w:r>
      <w:r w:rsidR="00FA5915">
        <w:rPr>
          <w:sz w:val="24"/>
          <w:szCs w:val="24"/>
        </w:rPr>
        <w:t>.1</w:t>
      </w:r>
      <w:r w:rsidR="00FA5915">
        <w:rPr>
          <w:sz w:val="24"/>
          <w:szCs w:val="24"/>
        </w:rPr>
        <w:tab/>
        <w:t>Employer discretions under the firefighter pension s</w:t>
      </w:r>
      <w:r w:rsidR="00291F6B">
        <w:rPr>
          <w:sz w:val="24"/>
          <w:szCs w:val="24"/>
        </w:rPr>
        <w:t>chemes. Discretions are</w:t>
      </w:r>
      <w:r w:rsidR="00FA5915">
        <w:rPr>
          <w:sz w:val="24"/>
          <w:szCs w:val="24"/>
        </w:rPr>
        <w:t xml:space="preserve"> presented to the </w:t>
      </w:r>
      <w:r w:rsidR="00FA3A26">
        <w:rPr>
          <w:sz w:val="24"/>
          <w:szCs w:val="24"/>
        </w:rPr>
        <w:t>B</w:t>
      </w:r>
      <w:r w:rsidR="00FA5915">
        <w:rPr>
          <w:sz w:val="24"/>
          <w:szCs w:val="24"/>
        </w:rPr>
        <w:t xml:space="preserve">oard for information, and the process </w:t>
      </w:r>
      <w:r w:rsidR="00FA5915" w:rsidRPr="00EB7B54">
        <w:rPr>
          <w:sz w:val="24"/>
          <w:szCs w:val="24"/>
        </w:rPr>
        <w:t>by which Officers make decisions about discretions has been explained.</w:t>
      </w:r>
      <w:r w:rsidR="00291F6B" w:rsidRPr="00EB7B54">
        <w:rPr>
          <w:sz w:val="24"/>
          <w:szCs w:val="24"/>
        </w:rPr>
        <w:t xml:space="preserve">  There were no Discretions during </w:t>
      </w:r>
      <w:r w:rsidR="00291F6B" w:rsidRPr="001841AC">
        <w:rPr>
          <w:sz w:val="24"/>
          <w:szCs w:val="24"/>
          <w:highlight w:val="green"/>
        </w:rPr>
        <w:t>201</w:t>
      </w:r>
      <w:r w:rsidRPr="001841AC">
        <w:rPr>
          <w:sz w:val="24"/>
          <w:szCs w:val="24"/>
          <w:highlight w:val="green"/>
        </w:rPr>
        <w:t>x</w:t>
      </w:r>
      <w:r w:rsidR="00291F6B" w:rsidRPr="001841AC">
        <w:rPr>
          <w:sz w:val="24"/>
          <w:szCs w:val="24"/>
          <w:highlight w:val="green"/>
        </w:rPr>
        <w:t>/1</w:t>
      </w:r>
      <w:r w:rsidRPr="001841AC">
        <w:rPr>
          <w:sz w:val="24"/>
          <w:szCs w:val="24"/>
          <w:highlight w:val="green"/>
        </w:rPr>
        <w:t>x</w:t>
      </w:r>
      <w:r w:rsidR="00291F6B" w:rsidRPr="00EB7B54">
        <w:rPr>
          <w:sz w:val="24"/>
          <w:szCs w:val="24"/>
        </w:rPr>
        <w:t>.</w:t>
      </w:r>
    </w:p>
    <w:p w:rsidR="00FA5915" w:rsidRDefault="00FA5915" w:rsidP="0003402B">
      <w:pPr>
        <w:ind w:left="1440" w:right="283" w:hanging="720"/>
        <w:rPr>
          <w:sz w:val="24"/>
          <w:szCs w:val="24"/>
        </w:rPr>
      </w:pPr>
    </w:p>
    <w:p w:rsidR="007C5119" w:rsidRDefault="009D3390" w:rsidP="0003402B">
      <w:pPr>
        <w:ind w:left="1440" w:right="283" w:hanging="720"/>
        <w:rPr>
          <w:sz w:val="24"/>
          <w:szCs w:val="24"/>
        </w:rPr>
      </w:pPr>
      <w:r>
        <w:rPr>
          <w:sz w:val="24"/>
          <w:szCs w:val="24"/>
        </w:rPr>
        <w:t>2.16</w:t>
      </w:r>
      <w:r w:rsidR="00FA5915">
        <w:rPr>
          <w:sz w:val="24"/>
          <w:szCs w:val="24"/>
        </w:rPr>
        <w:t>.2</w:t>
      </w:r>
      <w:r w:rsidR="00FA5915">
        <w:rPr>
          <w:sz w:val="24"/>
          <w:szCs w:val="24"/>
        </w:rPr>
        <w:tab/>
      </w:r>
      <w:r w:rsidR="00FA5915" w:rsidRPr="007A4A98">
        <w:rPr>
          <w:sz w:val="24"/>
          <w:szCs w:val="24"/>
        </w:rPr>
        <w:t xml:space="preserve">The </w:t>
      </w:r>
      <w:r w:rsidR="00FA3A26" w:rsidRPr="007A4A98">
        <w:rPr>
          <w:sz w:val="24"/>
          <w:szCs w:val="24"/>
        </w:rPr>
        <w:t>B</w:t>
      </w:r>
      <w:r w:rsidR="00FA5915" w:rsidRPr="007A4A98">
        <w:rPr>
          <w:sz w:val="24"/>
          <w:szCs w:val="24"/>
        </w:rPr>
        <w:t xml:space="preserve">oard was kept informed of progress towards sending </w:t>
      </w:r>
      <w:r w:rsidR="00291F6B" w:rsidRPr="007A4A98">
        <w:rPr>
          <w:sz w:val="24"/>
          <w:szCs w:val="24"/>
        </w:rPr>
        <w:t>out</w:t>
      </w:r>
      <w:r w:rsidR="00FA5915" w:rsidRPr="007A4A98">
        <w:rPr>
          <w:sz w:val="24"/>
          <w:szCs w:val="24"/>
        </w:rPr>
        <w:t xml:space="preserve"> Annual Benefits </w:t>
      </w:r>
      <w:r w:rsidR="00291F6B" w:rsidRPr="007A4A98">
        <w:rPr>
          <w:sz w:val="24"/>
          <w:szCs w:val="24"/>
        </w:rPr>
        <w:t>Statements</w:t>
      </w:r>
      <w:r w:rsidR="007A4A98" w:rsidRPr="007A4A98">
        <w:rPr>
          <w:sz w:val="24"/>
          <w:szCs w:val="24"/>
        </w:rPr>
        <w:t xml:space="preserve"> (ABS)</w:t>
      </w:r>
      <w:r w:rsidR="00291F6B" w:rsidRPr="007A4A98">
        <w:rPr>
          <w:sz w:val="24"/>
          <w:szCs w:val="24"/>
        </w:rPr>
        <w:t xml:space="preserve"> </w:t>
      </w:r>
      <w:r w:rsidR="00FA5915" w:rsidRPr="007A4A98">
        <w:rPr>
          <w:sz w:val="24"/>
          <w:szCs w:val="24"/>
        </w:rPr>
        <w:t xml:space="preserve">to members </w:t>
      </w:r>
      <w:r>
        <w:rPr>
          <w:sz w:val="24"/>
          <w:szCs w:val="24"/>
        </w:rPr>
        <w:t>for 201x/1x</w:t>
      </w:r>
      <w:r w:rsidR="007A4A98" w:rsidRPr="007A4A98">
        <w:rPr>
          <w:sz w:val="24"/>
          <w:szCs w:val="24"/>
        </w:rPr>
        <w:t xml:space="preserve">. </w:t>
      </w:r>
      <w:r w:rsidR="00FA5915" w:rsidRPr="007A4A98">
        <w:rPr>
          <w:sz w:val="24"/>
          <w:szCs w:val="24"/>
        </w:rPr>
        <w:t xml:space="preserve"> </w:t>
      </w:r>
      <w:r w:rsidRPr="009D3390">
        <w:rPr>
          <w:sz w:val="24"/>
          <w:szCs w:val="24"/>
          <w:highlight w:val="green"/>
        </w:rPr>
        <w:t>Provide details of any ABS related issues here.</w:t>
      </w:r>
    </w:p>
    <w:p w:rsidR="009D3390" w:rsidRDefault="009D3390" w:rsidP="0003402B">
      <w:pPr>
        <w:ind w:left="1440" w:right="283" w:hanging="720"/>
        <w:rPr>
          <w:sz w:val="24"/>
          <w:szCs w:val="24"/>
        </w:rPr>
      </w:pPr>
    </w:p>
    <w:p w:rsidR="00AD4100" w:rsidRDefault="009D3390" w:rsidP="0003402B">
      <w:pPr>
        <w:ind w:left="1440" w:right="283" w:hanging="720"/>
        <w:rPr>
          <w:sz w:val="24"/>
          <w:szCs w:val="24"/>
        </w:rPr>
      </w:pPr>
      <w:r>
        <w:rPr>
          <w:sz w:val="24"/>
          <w:szCs w:val="24"/>
        </w:rPr>
        <w:t>2.16</w:t>
      </w:r>
      <w:r w:rsidR="00AD4100">
        <w:rPr>
          <w:sz w:val="24"/>
          <w:szCs w:val="24"/>
        </w:rPr>
        <w:t>.3</w:t>
      </w:r>
      <w:r w:rsidR="00AD4100">
        <w:rPr>
          <w:sz w:val="24"/>
          <w:szCs w:val="24"/>
        </w:rPr>
        <w:tab/>
        <w:t xml:space="preserve">In order to keep abreast of national pension issues, the Board has set up a register of Breaches of the Pension Act 2013.  The register provides details of all breaches and also areas of concern that have been considered but not felt to breach the regulations.  </w:t>
      </w:r>
      <w:r w:rsidRPr="009D3390">
        <w:rPr>
          <w:sz w:val="24"/>
          <w:szCs w:val="24"/>
          <w:highlight w:val="green"/>
        </w:rPr>
        <w:t>Provide details of any breaches here</w:t>
      </w:r>
    </w:p>
    <w:p w:rsidR="007C5119" w:rsidRDefault="007C5119" w:rsidP="0003402B">
      <w:pPr>
        <w:ind w:left="1440" w:right="283" w:hanging="720"/>
        <w:rPr>
          <w:sz w:val="24"/>
          <w:szCs w:val="24"/>
        </w:rPr>
      </w:pPr>
    </w:p>
    <w:p w:rsidR="007C5119" w:rsidRDefault="009D3390" w:rsidP="0003402B">
      <w:pPr>
        <w:ind w:left="1440" w:right="283" w:hanging="720"/>
        <w:rPr>
          <w:sz w:val="24"/>
          <w:szCs w:val="24"/>
        </w:rPr>
      </w:pPr>
      <w:r>
        <w:rPr>
          <w:sz w:val="24"/>
          <w:szCs w:val="24"/>
        </w:rPr>
        <w:t>2.16</w:t>
      </w:r>
      <w:r w:rsidR="007C5119">
        <w:rPr>
          <w:sz w:val="24"/>
          <w:szCs w:val="24"/>
        </w:rPr>
        <w:t>.4</w:t>
      </w:r>
      <w:r w:rsidR="007C5119">
        <w:rPr>
          <w:sz w:val="24"/>
          <w:szCs w:val="24"/>
        </w:rPr>
        <w:tab/>
        <w:t>To help ensure compliance with the General Data Protection Regulation (GDPR) and also to ensure the accuracy of records, the Board is also in the process of developing a Data</w:t>
      </w:r>
      <w:r>
        <w:rPr>
          <w:sz w:val="24"/>
          <w:szCs w:val="24"/>
        </w:rPr>
        <w:t xml:space="preserve"> Improvement Plan. </w:t>
      </w:r>
    </w:p>
    <w:p w:rsidR="007C5119" w:rsidRDefault="007C5119" w:rsidP="0003402B">
      <w:pPr>
        <w:ind w:left="1440" w:right="283" w:hanging="720"/>
        <w:rPr>
          <w:sz w:val="24"/>
          <w:szCs w:val="24"/>
        </w:rPr>
      </w:pPr>
    </w:p>
    <w:p w:rsidR="007C5119" w:rsidRDefault="009D3390" w:rsidP="0003402B">
      <w:pPr>
        <w:ind w:left="1440" w:right="283" w:hanging="720"/>
        <w:rPr>
          <w:sz w:val="24"/>
          <w:szCs w:val="24"/>
        </w:rPr>
      </w:pPr>
      <w:r>
        <w:rPr>
          <w:sz w:val="24"/>
          <w:szCs w:val="24"/>
        </w:rPr>
        <w:t>2.16</w:t>
      </w:r>
      <w:r w:rsidR="007C5119">
        <w:rPr>
          <w:sz w:val="24"/>
          <w:szCs w:val="24"/>
        </w:rPr>
        <w:t>.5</w:t>
      </w:r>
      <w:r w:rsidR="007C5119">
        <w:rPr>
          <w:sz w:val="24"/>
          <w:szCs w:val="24"/>
        </w:rPr>
        <w:tab/>
      </w:r>
      <w:r w:rsidR="001D13EE">
        <w:rPr>
          <w:sz w:val="24"/>
          <w:szCs w:val="24"/>
        </w:rPr>
        <w:t>The Board is being kept up to date regarding the outcome of the Employment Appeal Tribunal relating to the Public Sector Age Discrimination Appeals which were heard in December 2017.  The case has been referred back to the Employment Tribunal for further consideration.</w:t>
      </w:r>
      <w:r w:rsidR="008853E7">
        <w:rPr>
          <w:sz w:val="24"/>
          <w:szCs w:val="24"/>
        </w:rPr>
        <w:t xml:space="preserve">  It is expected that the case could take some time to resolve, but could have </w:t>
      </w:r>
      <w:r w:rsidR="00BE6F7C">
        <w:rPr>
          <w:sz w:val="24"/>
          <w:szCs w:val="24"/>
        </w:rPr>
        <w:t>far reaching implications on the 2015 scheme should it be upheld.</w:t>
      </w:r>
    </w:p>
    <w:p w:rsidR="00B21EE6" w:rsidRDefault="00B21EE6" w:rsidP="0003402B">
      <w:pPr>
        <w:ind w:left="720" w:right="283" w:hanging="720"/>
        <w:rPr>
          <w:sz w:val="24"/>
          <w:szCs w:val="24"/>
        </w:rPr>
      </w:pPr>
    </w:p>
    <w:p w:rsidR="008233B2" w:rsidRPr="00851697" w:rsidRDefault="009D3390" w:rsidP="0003402B">
      <w:pPr>
        <w:ind w:left="720" w:right="283" w:hanging="720"/>
        <w:rPr>
          <w:b/>
          <w:sz w:val="24"/>
          <w:szCs w:val="24"/>
        </w:rPr>
      </w:pPr>
      <w:r>
        <w:rPr>
          <w:sz w:val="24"/>
          <w:szCs w:val="24"/>
        </w:rPr>
        <w:t>2.17</w:t>
      </w:r>
      <w:r w:rsidR="00B21EE6">
        <w:rPr>
          <w:sz w:val="24"/>
          <w:szCs w:val="24"/>
        </w:rPr>
        <w:tab/>
        <w:t xml:space="preserve">The Local Firefighter Pension Board is now well established and has made good progress in improving the knowledge and understanding of the </w:t>
      </w:r>
      <w:r w:rsidR="00FA3A26">
        <w:rPr>
          <w:sz w:val="24"/>
          <w:szCs w:val="24"/>
        </w:rPr>
        <w:t>B</w:t>
      </w:r>
      <w:r w:rsidR="00B21EE6">
        <w:rPr>
          <w:sz w:val="24"/>
          <w:szCs w:val="24"/>
        </w:rPr>
        <w:t xml:space="preserve">oard about pension issues, and in ensuring that governance and administration of pensions is carried out effectively. </w:t>
      </w:r>
      <w:r w:rsidR="00BE6F7C">
        <w:rPr>
          <w:sz w:val="24"/>
          <w:szCs w:val="24"/>
        </w:rPr>
        <w:t>Work has also been undertaken</w:t>
      </w:r>
      <w:r w:rsidR="00B21EE6">
        <w:rPr>
          <w:sz w:val="24"/>
          <w:szCs w:val="24"/>
        </w:rPr>
        <w:t xml:space="preserve"> to communicate with pension scheme members about pension issues and to raise the profil</w:t>
      </w:r>
      <w:r w:rsidR="00B772F7">
        <w:rPr>
          <w:sz w:val="24"/>
          <w:szCs w:val="24"/>
        </w:rPr>
        <w:t>e of this important subject. The</w:t>
      </w:r>
      <w:r w:rsidR="00B21EE6">
        <w:rPr>
          <w:sz w:val="24"/>
          <w:szCs w:val="24"/>
        </w:rPr>
        <w:t xml:space="preserve"> </w:t>
      </w:r>
      <w:r w:rsidR="00BE6F7C">
        <w:rPr>
          <w:sz w:val="24"/>
          <w:szCs w:val="24"/>
        </w:rPr>
        <w:t>Board will continue to ensure that good practice is maintained and ongoing improvem</w:t>
      </w:r>
      <w:r w:rsidR="00662CEA">
        <w:rPr>
          <w:sz w:val="24"/>
          <w:szCs w:val="24"/>
        </w:rPr>
        <w:t>ents are made in line with advic</w:t>
      </w:r>
      <w:r w:rsidR="00BE6F7C">
        <w:rPr>
          <w:sz w:val="24"/>
          <w:szCs w:val="24"/>
        </w:rPr>
        <w:t>e from the Scheme Advisory Board and The Pension Regulator.</w:t>
      </w:r>
    </w:p>
    <w:p w:rsidR="00337273" w:rsidRDefault="00337273" w:rsidP="00AD62EF">
      <w:pPr>
        <w:ind w:left="720" w:right="709" w:hanging="720"/>
        <w:rPr>
          <w:sz w:val="24"/>
          <w:szCs w:val="24"/>
        </w:rPr>
      </w:pPr>
      <w:r>
        <w:rPr>
          <w:sz w:val="24"/>
          <w:szCs w:val="24"/>
        </w:rPr>
        <w:t> </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73"/>
      </w:tblGrid>
      <w:tr w:rsidR="00596EB5" w:rsidRPr="00952DD1" w:rsidTr="003D45AC">
        <w:tc>
          <w:tcPr>
            <w:tcW w:w="9173" w:type="dxa"/>
            <w:shd w:val="clear" w:color="auto" w:fill="D9D9D9"/>
          </w:tcPr>
          <w:p w:rsidR="00596EB5" w:rsidRPr="00952DD1" w:rsidRDefault="00596EB5" w:rsidP="00366EAD">
            <w:pPr>
              <w:tabs>
                <w:tab w:val="left" w:pos="567"/>
              </w:tabs>
              <w:spacing w:before="120" w:after="120"/>
              <w:jc w:val="both"/>
              <w:rPr>
                <w:b/>
                <w:bCs/>
                <w:sz w:val="24"/>
                <w:szCs w:val="24"/>
              </w:rPr>
            </w:pPr>
            <w:r w:rsidRPr="00952DD1">
              <w:rPr>
                <w:b/>
                <w:bCs/>
                <w:sz w:val="24"/>
                <w:szCs w:val="24"/>
              </w:rPr>
              <w:t>3.</w:t>
            </w:r>
            <w:r w:rsidRPr="00952DD1">
              <w:rPr>
                <w:b/>
                <w:bCs/>
                <w:sz w:val="24"/>
                <w:szCs w:val="24"/>
              </w:rPr>
              <w:tab/>
              <w:t>FINANCIAL IMPLICATIONS</w:t>
            </w:r>
          </w:p>
        </w:tc>
      </w:tr>
    </w:tbl>
    <w:p w:rsidR="00596EB5" w:rsidRDefault="00596EB5" w:rsidP="00596EB5">
      <w:pPr>
        <w:pStyle w:val="BodyTextIndent"/>
        <w:spacing w:after="0"/>
        <w:ind w:left="0" w:firstLine="60"/>
        <w:rPr>
          <w:bCs/>
          <w:sz w:val="24"/>
          <w:szCs w:val="24"/>
        </w:rPr>
      </w:pPr>
    </w:p>
    <w:p w:rsidR="00366EAD" w:rsidRDefault="00B21EE6" w:rsidP="00B21EE6">
      <w:pPr>
        <w:ind w:left="720" w:hanging="720"/>
        <w:rPr>
          <w:sz w:val="24"/>
          <w:szCs w:val="24"/>
        </w:rPr>
      </w:pPr>
      <w:r>
        <w:rPr>
          <w:sz w:val="24"/>
          <w:szCs w:val="24"/>
        </w:rPr>
        <w:t>3.1</w:t>
      </w:r>
      <w:r>
        <w:rPr>
          <w:sz w:val="24"/>
          <w:szCs w:val="24"/>
        </w:rPr>
        <w:tab/>
        <w:t xml:space="preserve">The training of </w:t>
      </w:r>
      <w:r w:rsidR="00FA3A26">
        <w:rPr>
          <w:sz w:val="24"/>
          <w:szCs w:val="24"/>
        </w:rPr>
        <w:t>B</w:t>
      </w:r>
      <w:r>
        <w:rPr>
          <w:sz w:val="24"/>
          <w:szCs w:val="24"/>
        </w:rPr>
        <w:t xml:space="preserve">oard members is largely carried out in house at no direct cost, and national events such as the LGA conference have been free of charge so far. Where </w:t>
      </w:r>
      <w:r w:rsidR="00FA3A26">
        <w:rPr>
          <w:sz w:val="24"/>
          <w:szCs w:val="24"/>
        </w:rPr>
        <w:t>B</w:t>
      </w:r>
      <w:r>
        <w:rPr>
          <w:sz w:val="24"/>
          <w:szCs w:val="24"/>
        </w:rPr>
        <w:t>oard members have to travel to attend training events this cost is contained within existing budgets.</w:t>
      </w:r>
    </w:p>
    <w:p w:rsidR="00B21EE6" w:rsidRDefault="00B21EE6" w:rsidP="00B21EE6">
      <w:pPr>
        <w:ind w:left="720" w:hanging="720"/>
        <w:rPr>
          <w:sz w:val="24"/>
          <w:szCs w:val="24"/>
        </w:rPr>
      </w:pPr>
    </w:p>
    <w:p w:rsidR="00B21EE6" w:rsidRPr="00366EAD" w:rsidRDefault="00B21EE6" w:rsidP="00B21EE6">
      <w:pPr>
        <w:ind w:left="720" w:hanging="720"/>
        <w:rPr>
          <w:sz w:val="24"/>
          <w:szCs w:val="24"/>
        </w:rPr>
      </w:pPr>
      <w:r>
        <w:rPr>
          <w:sz w:val="24"/>
          <w:szCs w:val="24"/>
        </w:rPr>
        <w:t>3.2</w:t>
      </w:r>
      <w:r>
        <w:rPr>
          <w:sz w:val="24"/>
          <w:szCs w:val="24"/>
        </w:rPr>
        <w:tab/>
      </w:r>
      <w:r w:rsidR="00BE6F7C" w:rsidRPr="00772EA5">
        <w:rPr>
          <w:sz w:val="24"/>
          <w:szCs w:val="24"/>
        </w:rPr>
        <w:t>The Authority continues to</w:t>
      </w:r>
      <w:r w:rsidR="008E13BB" w:rsidRPr="00772EA5">
        <w:rPr>
          <w:sz w:val="24"/>
          <w:szCs w:val="24"/>
        </w:rPr>
        <w:t xml:space="preserve"> pay a levy to the Scheme Advisory Board and this will cover the cost of </w:t>
      </w:r>
      <w:r w:rsidR="009D38FC" w:rsidRPr="00772EA5">
        <w:rPr>
          <w:sz w:val="24"/>
          <w:szCs w:val="24"/>
        </w:rPr>
        <w:t>the national fire pensions technical advisor post and support the work of the SAB. The aim of the SAB in setting this levy is to help fire authorities to achieve cost savings by producing guidance and communications centrally for author</w:t>
      </w:r>
      <w:r w:rsidR="009D3390">
        <w:rPr>
          <w:sz w:val="24"/>
          <w:szCs w:val="24"/>
        </w:rPr>
        <w:t xml:space="preserve">ities to share. The cost in </w:t>
      </w:r>
      <w:r w:rsidR="009D3390" w:rsidRPr="009D3390">
        <w:rPr>
          <w:sz w:val="24"/>
          <w:szCs w:val="24"/>
          <w:highlight w:val="green"/>
        </w:rPr>
        <w:t>201x</w:t>
      </w:r>
      <w:r w:rsidR="009D38FC" w:rsidRPr="009D3390">
        <w:rPr>
          <w:sz w:val="24"/>
          <w:szCs w:val="24"/>
          <w:highlight w:val="green"/>
        </w:rPr>
        <w:t>/</w:t>
      </w:r>
      <w:r w:rsidR="009D3390" w:rsidRPr="009D3390">
        <w:rPr>
          <w:sz w:val="24"/>
          <w:szCs w:val="24"/>
          <w:highlight w:val="green"/>
        </w:rPr>
        <w:t>1x</w:t>
      </w:r>
      <w:r w:rsidR="009D3390">
        <w:rPr>
          <w:sz w:val="24"/>
          <w:szCs w:val="24"/>
        </w:rPr>
        <w:t xml:space="preserve"> will be in the region of </w:t>
      </w:r>
      <w:r w:rsidR="009D3390" w:rsidRPr="009D3390">
        <w:rPr>
          <w:sz w:val="24"/>
          <w:szCs w:val="24"/>
          <w:highlight w:val="green"/>
        </w:rPr>
        <w:t>£xxx</w:t>
      </w:r>
      <w:r w:rsidR="00E74152" w:rsidRPr="00772EA5">
        <w:rPr>
          <w:sz w:val="24"/>
          <w:szCs w:val="24"/>
        </w:rPr>
        <w:t xml:space="preserve"> and this has been provided for within the revenue budget</w:t>
      </w:r>
      <w:r w:rsidR="009D38FC" w:rsidRPr="00772EA5">
        <w:rPr>
          <w:sz w:val="24"/>
          <w:szCs w:val="24"/>
        </w:rPr>
        <w:t>.</w:t>
      </w:r>
    </w:p>
    <w:p w:rsidR="00596EB5" w:rsidRDefault="00596EB5" w:rsidP="00596EB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596EB5" w:rsidRPr="00952DD1" w:rsidTr="00366EAD">
        <w:tc>
          <w:tcPr>
            <w:tcW w:w="9173" w:type="dxa"/>
            <w:shd w:val="clear" w:color="auto" w:fill="D9D9D9"/>
          </w:tcPr>
          <w:p w:rsidR="00596EB5" w:rsidRPr="00952DD1" w:rsidRDefault="00596EB5" w:rsidP="00366EAD">
            <w:pPr>
              <w:tabs>
                <w:tab w:val="num" w:pos="567"/>
              </w:tabs>
              <w:spacing w:before="120" w:after="120"/>
              <w:ind w:left="567" w:hanging="567"/>
              <w:rPr>
                <w:b/>
                <w:sz w:val="24"/>
                <w:szCs w:val="24"/>
              </w:rPr>
            </w:pPr>
            <w:r w:rsidRPr="00952DD1">
              <w:rPr>
                <w:b/>
                <w:sz w:val="24"/>
                <w:szCs w:val="24"/>
              </w:rPr>
              <w:t>4.</w:t>
            </w:r>
            <w:r w:rsidRPr="00952DD1">
              <w:rPr>
                <w:b/>
                <w:sz w:val="24"/>
                <w:szCs w:val="24"/>
              </w:rPr>
              <w:tab/>
              <w:t xml:space="preserve">HUMAN RESOURCES AND LEARNING AND DEVELOPMENT  </w:t>
            </w:r>
            <w:r w:rsidRPr="00952DD1">
              <w:rPr>
                <w:b/>
                <w:sz w:val="24"/>
                <w:szCs w:val="24"/>
              </w:rPr>
              <w:lastRenderedPageBreak/>
              <w:t xml:space="preserve">IMPLICATIONS </w:t>
            </w:r>
          </w:p>
        </w:tc>
      </w:tr>
    </w:tbl>
    <w:p w:rsidR="00553F26" w:rsidRDefault="00553F26" w:rsidP="00366EAD">
      <w:pPr>
        <w:rPr>
          <w:sz w:val="24"/>
          <w:szCs w:val="24"/>
        </w:rPr>
      </w:pPr>
    </w:p>
    <w:p w:rsidR="00596EB5" w:rsidRDefault="00A22BC4" w:rsidP="00B9158A">
      <w:pPr>
        <w:ind w:right="567"/>
        <w:rPr>
          <w:sz w:val="24"/>
          <w:szCs w:val="24"/>
        </w:rPr>
      </w:pPr>
      <w:r w:rsidRPr="009D38FC">
        <w:rPr>
          <w:sz w:val="24"/>
          <w:szCs w:val="24"/>
        </w:rPr>
        <w:t>There are no human resources or learning and development implications arising directly from this report.</w:t>
      </w:r>
      <w:r w:rsidR="009D38FC">
        <w:rPr>
          <w:sz w:val="24"/>
          <w:szCs w:val="24"/>
        </w:rPr>
        <w:t xml:space="preserve"> The members of the </w:t>
      </w:r>
      <w:r w:rsidR="00FA3A26">
        <w:rPr>
          <w:sz w:val="24"/>
          <w:szCs w:val="24"/>
        </w:rPr>
        <w:t>B</w:t>
      </w:r>
      <w:r w:rsidR="009D38FC">
        <w:rPr>
          <w:sz w:val="24"/>
          <w:szCs w:val="24"/>
        </w:rPr>
        <w:t>oard are required to achieve and maintain knowledge and understanding of pensions and this requirement is being managed and monitored by the Scheme Manager.</w:t>
      </w:r>
    </w:p>
    <w:p w:rsidR="00662CEA" w:rsidRDefault="008A4C9C" w:rsidP="00B9158A">
      <w:pPr>
        <w:ind w:right="567"/>
        <w:rPr>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596EB5" w:rsidRPr="00952DD1" w:rsidTr="00366EAD">
        <w:tc>
          <w:tcPr>
            <w:tcW w:w="9173" w:type="dxa"/>
            <w:shd w:val="clear" w:color="auto" w:fill="D9D9D9"/>
          </w:tcPr>
          <w:p w:rsidR="00596EB5" w:rsidRPr="00952DD1" w:rsidRDefault="00596EB5" w:rsidP="003A496B">
            <w:pPr>
              <w:tabs>
                <w:tab w:val="left" w:pos="567"/>
              </w:tabs>
              <w:spacing w:before="120" w:after="120"/>
              <w:jc w:val="both"/>
              <w:rPr>
                <w:b/>
                <w:sz w:val="24"/>
                <w:szCs w:val="24"/>
              </w:rPr>
            </w:pPr>
            <w:r w:rsidRPr="00952DD1">
              <w:rPr>
                <w:b/>
                <w:sz w:val="24"/>
                <w:szCs w:val="24"/>
              </w:rPr>
              <w:t>5.</w:t>
            </w:r>
            <w:r w:rsidRPr="00952DD1">
              <w:rPr>
                <w:b/>
                <w:sz w:val="24"/>
                <w:szCs w:val="24"/>
              </w:rPr>
              <w:tab/>
              <w:t>EQUALITY</w:t>
            </w:r>
            <w:r w:rsidR="003A496B">
              <w:rPr>
                <w:b/>
                <w:sz w:val="24"/>
                <w:szCs w:val="24"/>
              </w:rPr>
              <w:t xml:space="preserve"> IMPLICATIONS</w:t>
            </w:r>
          </w:p>
        </w:tc>
      </w:tr>
    </w:tbl>
    <w:p w:rsidR="00596EB5" w:rsidRPr="00804FFC" w:rsidRDefault="00596EB5" w:rsidP="00596EB5">
      <w:pPr>
        <w:jc w:val="both"/>
        <w:rPr>
          <w:b/>
          <w:sz w:val="24"/>
          <w:szCs w:val="24"/>
        </w:rPr>
      </w:pPr>
    </w:p>
    <w:p w:rsidR="00596EB5" w:rsidRDefault="00A22BC4" w:rsidP="008233B2">
      <w:pPr>
        <w:rPr>
          <w:sz w:val="24"/>
          <w:szCs w:val="24"/>
        </w:rPr>
      </w:pPr>
      <w:r w:rsidRPr="003B40C3">
        <w:rPr>
          <w:sz w:val="24"/>
          <w:szCs w:val="24"/>
          <w:lang w:val="en-US"/>
        </w:rPr>
        <w:t xml:space="preserve">An </w:t>
      </w:r>
      <w:r w:rsidR="008D4ECB">
        <w:rPr>
          <w:sz w:val="24"/>
          <w:szCs w:val="24"/>
          <w:lang w:val="en-US"/>
        </w:rPr>
        <w:t>equality impact a</w:t>
      </w:r>
      <w:r w:rsidRPr="003B40C3">
        <w:rPr>
          <w:sz w:val="24"/>
          <w:szCs w:val="24"/>
          <w:lang w:val="en-US"/>
        </w:rPr>
        <w:t>ssessment has</w:t>
      </w:r>
      <w:r>
        <w:rPr>
          <w:sz w:val="24"/>
          <w:szCs w:val="24"/>
          <w:lang w:val="en-US"/>
        </w:rPr>
        <w:t xml:space="preserve"> </w:t>
      </w:r>
      <w:r w:rsidRPr="003B40C3">
        <w:rPr>
          <w:sz w:val="24"/>
          <w:szCs w:val="24"/>
          <w:lang w:val="en-US"/>
        </w:rPr>
        <w:t>n</w:t>
      </w:r>
      <w:r>
        <w:rPr>
          <w:sz w:val="24"/>
          <w:szCs w:val="24"/>
          <w:lang w:val="en-US"/>
        </w:rPr>
        <w:t>o</w:t>
      </w:r>
      <w:r w:rsidRPr="003B40C3">
        <w:rPr>
          <w:sz w:val="24"/>
          <w:szCs w:val="24"/>
          <w:lang w:val="en-US"/>
        </w:rPr>
        <w:t>t been undertaken because</w:t>
      </w:r>
      <w:r>
        <w:rPr>
          <w:sz w:val="24"/>
          <w:szCs w:val="24"/>
        </w:rPr>
        <w:t xml:space="preserve"> this report is not associated with a policy, function or service</w:t>
      </w:r>
      <w:r w:rsidR="009D38FC">
        <w:rPr>
          <w:sz w:val="24"/>
          <w:szCs w:val="24"/>
        </w:rPr>
        <w:t>.</w:t>
      </w:r>
    </w:p>
    <w:p w:rsidR="008233B2" w:rsidRDefault="008233B2" w:rsidP="008233B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73"/>
      </w:tblGrid>
      <w:tr w:rsidR="00596EB5" w:rsidRPr="00952DD1" w:rsidTr="00366EAD">
        <w:tc>
          <w:tcPr>
            <w:tcW w:w="9173" w:type="dxa"/>
            <w:shd w:val="clear" w:color="auto" w:fill="D9D9D9"/>
          </w:tcPr>
          <w:p w:rsidR="00596EB5" w:rsidRPr="00952DD1" w:rsidRDefault="00596EB5" w:rsidP="00366EAD">
            <w:pPr>
              <w:spacing w:before="120" w:after="120"/>
              <w:jc w:val="both"/>
              <w:rPr>
                <w:b/>
                <w:sz w:val="24"/>
                <w:szCs w:val="24"/>
              </w:rPr>
            </w:pPr>
            <w:r w:rsidRPr="00952DD1">
              <w:rPr>
                <w:b/>
                <w:sz w:val="24"/>
                <w:szCs w:val="24"/>
              </w:rPr>
              <w:t>6.      CRIME AND DISORDER IMPLICATIONS</w:t>
            </w:r>
          </w:p>
        </w:tc>
      </w:tr>
    </w:tbl>
    <w:p w:rsidR="00596EB5" w:rsidRDefault="00596EB5" w:rsidP="00596EB5">
      <w:pPr>
        <w:rPr>
          <w:bCs/>
          <w:sz w:val="24"/>
          <w:szCs w:val="24"/>
        </w:rPr>
      </w:pPr>
    </w:p>
    <w:p w:rsidR="00C26695" w:rsidRPr="007E67A1" w:rsidRDefault="00C26695" w:rsidP="00596EB5">
      <w:pPr>
        <w:rPr>
          <w:bCs/>
          <w:sz w:val="24"/>
          <w:szCs w:val="24"/>
        </w:rPr>
      </w:pPr>
      <w:r>
        <w:rPr>
          <w:bCs/>
          <w:sz w:val="24"/>
          <w:szCs w:val="24"/>
        </w:rPr>
        <w:t>There are no crime and disorder implications arising from this report.</w:t>
      </w:r>
    </w:p>
    <w:p w:rsidR="003C343C" w:rsidRPr="007E67A1" w:rsidRDefault="003C343C" w:rsidP="00596EB5">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73"/>
      </w:tblGrid>
      <w:tr w:rsidR="00596EB5" w:rsidRPr="00952DD1" w:rsidTr="00366EAD">
        <w:tc>
          <w:tcPr>
            <w:tcW w:w="9173" w:type="dxa"/>
            <w:shd w:val="clear" w:color="auto" w:fill="D9D9D9"/>
          </w:tcPr>
          <w:p w:rsidR="00596EB5" w:rsidRPr="00952DD1" w:rsidRDefault="00596EB5" w:rsidP="00366EAD">
            <w:pPr>
              <w:spacing w:before="120" w:after="120"/>
              <w:jc w:val="both"/>
              <w:rPr>
                <w:b/>
                <w:sz w:val="24"/>
                <w:szCs w:val="24"/>
              </w:rPr>
            </w:pPr>
            <w:r w:rsidRPr="00952DD1">
              <w:rPr>
                <w:b/>
                <w:sz w:val="24"/>
                <w:szCs w:val="24"/>
              </w:rPr>
              <w:t>7.      LEGAL IMPLICATIONS</w:t>
            </w:r>
          </w:p>
        </w:tc>
      </w:tr>
    </w:tbl>
    <w:p w:rsidR="00596EB5" w:rsidRDefault="00596EB5" w:rsidP="00596EB5">
      <w:pPr>
        <w:rPr>
          <w:bCs/>
          <w:sz w:val="24"/>
          <w:szCs w:val="24"/>
        </w:rPr>
      </w:pPr>
    </w:p>
    <w:p w:rsidR="00A22BC4" w:rsidRPr="00A22BC4" w:rsidRDefault="009D38FC" w:rsidP="00A22BC4">
      <w:pPr>
        <w:rPr>
          <w:bCs/>
          <w:sz w:val="24"/>
          <w:szCs w:val="24"/>
        </w:rPr>
      </w:pPr>
      <w:r>
        <w:rPr>
          <w:bCs/>
          <w:sz w:val="24"/>
          <w:szCs w:val="24"/>
        </w:rPr>
        <w:t xml:space="preserve">The </w:t>
      </w:r>
      <w:r>
        <w:rPr>
          <w:sz w:val="24"/>
          <w:szCs w:val="24"/>
        </w:rPr>
        <w:t xml:space="preserve">Local Firefighter Pension Board was created to fulfil the requirements of the </w:t>
      </w:r>
      <w:r w:rsidR="00784160">
        <w:rPr>
          <w:sz w:val="24"/>
          <w:szCs w:val="24"/>
        </w:rPr>
        <w:t xml:space="preserve">Public Service </w:t>
      </w:r>
      <w:r>
        <w:rPr>
          <w:sz w:val="24"/>
          <w:szCs w:val="24"/>
        </w:rPr>
        <w:t>Pensions Act 2013.</w:t>
      </w:r>
    </w:p>
    <w:p w:rsidR="00596EB5" w:rsidRPr="007E67A1" w:rsidRDefault="00596EB5" w:rsidP="00596EB5">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596EB5" w:rsidRPr="00952DD1" w:rsidTr="00366EAD">
        <w:tc>
          <w:tcPr>
            <w:tcW w:w="9173" w:type="dxa"/>
            <w:shd w:val="clear" w:color="auto" w:fill="D9D9D9"/>
          </w:tcPr>
          <w:p w:rsidR="00596EB5" w:rsidRPr="00952DD1" w:rsidRDefault="00596EB5" w:rsidP="00366EAD">
            <w:pPr>
              <w:tabs>
                <w:tab w:val="left" w:pos="567"/>
              </w:tabs>
              <w:spacing w:before="120" w:after="120"/>
              <w:jc w:val="both"/>
              <w:rPr>
                <w:b/>
                <w:sz w:val="24"/>
                <w:szCs w:val="24"/>
              </w:rPr>
            </w:pPr>
            <w:r w:rsidRPr="00952DD1">
              <w:rPr>
                <w:b/>
                <w:sz w:val="24"/>
                <w:szCs w:val="24"/>
              </w:rPr>
              <w:t>8.</w:t>
            </w:r>
            <w:r w:rsidRPr="00952DD1">
              <w:rPr>
                <w:b/>
                <w:sz w:val="24"/>
                <w:szCs w:val="24"/>
              </w:rPr>
              <w:tab/>
              <w:t>RISK MANAGEMENT IMPLICATIONS</w:t>
            </w:r>
          </w:p>
        </w:tc>
      </w:tr>
    </w:tbl>
    <w:p w:rsidR="00596EB5" w:rsidRDefault="00596EB5" w:rsidP="00596EB5">
      <w:pPr>
        <w:pStyle w:val="Style1"/>
        <w:spacing w:line="240" w:lineRule="auto"/>
        <w:ind w:hanging="142"/>
        <w:jc w:val="left"/>
        <w:rPr>
          <w:rFonts w:ascii="Arial" w:hAnsi="Arial"/>
          <w:kern w:val="0"/>
          <w:sz w:val="24"/>
          <w:szCs w:val="24"/>
        </w:rPr>
      </w:pPr>
    </w:p>
    <w:p w:rsidR="00C26695" w:rsidRDefault="009D38FC" w:rsidP="003C343C">
      <w:pPr>
        <w:ind w:right="26"/>
        <w:rPr>
          <w:bCs/>
          <w:sz w:val="24"/>
          <w:szCs w:val="24"/>
        </w:rPr>
      </w:pPr>
      <w:r>
        <w:rPr>
          <w:bCs/>
          <w:sz w:val="24"/>
          <w:szCs w:val="24"/>
        </w:rPr>
        <w:t xml:space="preserve">The risks associated with pension governance and administration are set out in the </w:t>
      </w:r>
      <w:r w:rsidR="00FA3A26">
        <w:rPr>
          <w:bCs/>
          <w:sz w:val="24"/>
          <w:szCs w:val="24"/>
        </w:rPr>
        <w:t>B</w:t>
      </w:r>
      <w:r>
        <w:rPr>
          <w:bCs/>
          <w:sz w:val="24"/>
          <w:szCs w:val="24"/>
        </w:rPr>
        <w:t xml:space="preserve">oard’s risk register, which is actively managed by the Scheme Manager and monitored by the </w:t>
      </w:r>
      <w:r w:rsidR="00FA3A26">
        <w:rPr>
          <w:bCs/>
          <w:sz w:val="24"/>
          <w:szCs w:val="24"/>
        </w:rPr>
        <w:t>B</w:t>
      </w:r>
      <w:r>
        <w:rPr>
          <w:bCs/>
          <w:sz w:val="24"/>
          <w:szCs w:val="24"/>
        </w:rPr>
        <w:t>oard.</w:t>
      </w:r>
    </w:p>
    <w:p w:rsidR="008D4ECB" w:rsidRPr="007E67A1" w:rsidRDefault="008D4ECB" w:rsidP="008D4ECB">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8D4ECB" w:rsidRPr="00952DD1" w:rsidTr="00CA06C6">
        <w:tc>
          <w:tcPr>
            <w:tcW w:w="9173" w:type="dxa"/>
            <w:shd w:val="clear" w:color="auto" w:fill="D9D9D9"/>
          </w:tcPr>
          <w:p w:rsidR="008D4ECB" w:rsidRPr="00952DD1" w:rsidRDefault="008D4ECB" w:rsidP="008D4ECB">
            <w:pPr>
              <w:tabs>
                <w:tab w:val="left" w:pos="567"/>
              </w:tabs>
              <w:spacing w:before="120" w:after="120"/>
              <w:jc w:val="both"/>
              <w:rPr>
                <w:b/>
                <w:sz w:val="24"/>
                <w:szCs w:val="24"/>
              </w:rPr>
            </w:pPr>
            <w:r>
              <w:rPr>
                <w:b/>
                <w:sz w:val="24"/>
                <w:szCs w:val="24"/>
              </w:rPr>
              <w:t>9</w:t>
            </w:r>
            <w:r w:rsidRPr="00952DD1">
              <w:rPr>
                <w:b/>
                <w:sz w:val="24"/>
                <w:szCs w:val="24"/>
              </w:rPr>
              <w:t>.</w:t>
            </w:r>
            <w:r w:rsidRPr="00952DD1">
              <w:rPr>
                <w:b/>
                <w:sz w:val="24"/>
                <w:szCs w:val="24"/>
              </w:rPr>
              <w:tab/>
            </w:r>
            <w:r>
              <w:rPr>
                <w:b/>
                <w:sz w:val="24"/>
                <w:szCs w:val="24"/>
              </w:rPr>
              <w:t xml:space="preserve">COLLABORATION </w:t>
            </w:r>
            <w:r w:rsidRPr="00952DD1">
              <w:rPr>
                <w:b/>
                <w:sz w:val="24"/>
                <w:szCs w:val="24"/>
              </w:rPr>
              <w:t>IMPLICATIONS</w:t>
            </w:r>
          </w:p>
        </w:tc>
      </w:tr>
    </w:tbl>
    <w:p w:rsidR="008D4ECB" w:rsidRDefault="008D4ECB" w:rsidP="008D4ECB">
      <w:pPr>
        <w:pStyle w:val="Style1"/>
        <w:spacing w:line="240" w:lineRule="auto"/>
        <w:ind w:hanging="142"/>
        <w:jc w:val="left"/>
        <w:rPr>
          <w:rFonts w:ascii="Arial" w:hAnsi="Arial"/>
          <w:kern w:val="0"/>
          <w:sz w:val="24"/>
          <w:szCs w:val="24"/>
        </w:rPr>
      </w:pPr>
    </w:p>
    <w:p w:rsidR="00D10487" w:rsidRDefault="009D3390" w:rsidP="00A22BC4">
      <w:pPr>
        <w:rPr>
          <w:bCs/>
          <w:sz w:val="24"/>
          <w:szCs w:val="24"/>
        </w:rPr>
      </w:pPr>
      <w:r w:rsidRPr="009D3390">
        <w:rPr>
          <w:bCs/>
          <w:sz w:val="24"/>
          <w:szCs w:val="24"/>
          <w:highlight w:val="green"/>
        </w:rPr>
        <w:t>Add details here if necessary</w:t>
      </w:r>
    </w:p>
    <w:p w:rsidR="009D3390" w:rsidRPr="00A22BC4" w:rsidRDefault="009D3390" w:rsidP="00A22BC4">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3"/>
      </w:tblGrid>
      <w:tr w:rsidR="00596EB5" w:rsidRPr="00952DD1" w:rsidTr="00366EAD">
        <w:tc>
          <w:tcPr>
            <w:tcW w:w="9173" w:type="dxa"/>
            <w:shd w:val="clear" w:color="auto" w:fill="D9D9D9"/>
          </w:tcPr>
          <w:p w:rsidR="00596EB5" w:rsidRPr="00952DD1" w:rsidRDefault="00EF62C6" w:rsidP="00EF62C6">
            <w:pPr>
              <w:spacing w:before="120" w:after="120"/>
              <w:jc w:val="both"/>
              <w:rPr>
                <w:b/>
                <w:bCs/>
                <w:sz w:val="24"/>
                <w:szCs w:val="24"/>
              </w:rPr>
            </w:pPr>
            <w:r>
              <w:rPr>
                <w:b/>
                <w:bCs/>
                <w:sz w:val="24"/>
                <w:szCs w:val="24"/>
              </w:rPr>
              <w:t>10</w:t>
            </w:r>
            <w:r w:rsidR="00596EB5" w:rsidRPr="00952DD1">
              <w:rPr>
                <w:b/>
                <w:bCs/>
                <w:sz w:val="24"/>
                <w:szCs w:val="24"/>
              </w:rPr>
              <w:t>.</w:t>
            </w:r>
            <w:r w:rsidR="00596EB5" w:rsidRPr="00952DD1">
              <w:rPr>
                <w:b/>
                <w:bCs/>
                <w:sz w:val="24"/>
                <w:szCs w:val="24"/>
              </w:rPr>
              <w:tab/>
              <w:t>RECOMMENDATIONS</w:t>
            </w:r>
          </w:p>
        </w:tc>
      </w:tr>
    </w:tbl>
    <w:p w:rsidR="00CC119C" w:rsidRDefault="00CC119C" w:rsidP="00596EB5">
      <w:pPr>
        <w:pStyle w:val="BodyTextIndent2"/>
        <w:ind w:left="0"/>
        <w:jc w:val="left"/>
        <w:rPr>
          <w:sz w:val="24"/>
          <w:szCs w:val="24"/>
        </w:rPr>
      </w:pPr>
    </w:p>
    <w:p w:rsidR="008F2CF7" w:rsidRDefault="008F2CF7" w:rsidP="00596EB5">
      <w:pPr>
        <w:pStyle w:val="BodyTextIndent2"/>
        <w:ind w:left="0"/>
        <w:jc w:val="left"/>
        <w:rPr>
          <w:sz w:val="24"/>
          <w:szCs w:val="24"/>
        </w:rPr>
      </w:pPr>
      <w:r>
        <w:rPr>
          <w:sz w:val="24"/>
          <w:szCs w:val="24"/>
        </w:rPr>
        <w:t>It is recommended that Members:</w:t>
      </w:r>
    </w:p>
    <w:p w:rsidR="008F2CF7" w:rsidRDefault="008F2CF7" w:rsidP="00596EB5">
      <w:pPr>
        <w:pStyle w:val="BodyTextIndent2"/>
        <w:ind w:left="0"/>
        <w:jc w:val="left"/>
        <w:rPr>
          <w:sz w:val="24"/>
          <w:szCs w:val="24"/>
        </w:rPr>
      </w:pPr>
    </w:p>
    <w:p w:rsidR="0003402B" w:rsidRDefault="0003402B" w:rsidP="0003402B">
      <w:pPr>
        <w:pStyle w:val="BodyTextIndent2"/>
        <w:ind w:left="0"/>
        <w:jc w:val="left"/>
        <w:rPr>
          <w:sz w:val="24"/>
          <w:szCs w:val="24"/>
        </w:rPr>
      </w:pPr>
      <w:r>
        <w:rPr>
          <w:sz w:val="24"/>
          <w:szCs w:val="24"/>
        </w:rPr>
        <w:t>9.1</w:t>
      </w:r>
      <w:r>
        <w:rPr>
          <w:sz w:val="24"/>
          <w:szCs w:val="24"/>
        </w:rPr>
        <w:tab/>
        <w:t>Note the contents of this report.</w:t>
      </w:r>
    </w:p>
    <w:p w:rsidR="0003402B" w:rsidRDefault="0003402B" w:rsidP="0003402B">
      <w:pPr>
        <w:pStyle w:val="BodyTextIndent2"/>
        <w:ind w:left="0"/>
        <w:jc w:val="left"/>
        <w:rPr>
          <w:sz w:val="24"/>
          <w:szCs w:val="24"/>
        </w:rPr>
      </w:pPr>
    </w:p>
    <w:p w:rsidR="00F77A48" w:rsidRDefault="00662CEA" w:rsidP="00596EB5">
      <w:pPr>
        <w:pStyle w:val="BodyTextIndent2"/>
        <w:ind w:left="0"/>
        <w:jc w:val="left"/>
        <w:rPr>
          <w:sz w:val="24"/>
          <w:szCs w:val="24"/>
        </w:rPr>
      </w:pPr>
      <w:r>
        <w:rPr>
          <w:sz w:val="24"/>
          <w:szCs w:val="24"/>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D82744" w:rsidRPr="001F34DE" w:rsidTr="006C1B24">
        <w:tc>
          <w:tcPr>
            <w:tcW w:w="9065" w:type="dxa"/>
            <w:shd w:val="clear" w:color="auto" w:fill="D9D9D9"/>
          </w:tcPr>
          <w:p w:rsidR="00D82744" w:rsidRPr="00952DD1" w:rsidRDefault="008D4ECB" w:rsidP="00654084">
            <w:pPr>
              <w:spacing w:before="120" w:after="120"/>
              <w:ind w:left="743" w:hanging="743"/>
              <w:rPr>
                <w:b/>
                <w:bCs/>
                <w:sz w:val="24"/>
                <w:szCs w:val="24"/>
              </w:rPr>
            </w:pPr>
            <w:r>
              <w:rPr>
                <w:b/>
                <w:bCs/>
                <w:sz w:val="24"/>
                <w:szCs w:val="24"/>
              </w:rPr>
              <w:t>11</w:t>
            </w:r>
            <w:r w:rsidR="00D82744" w:rsidRPr="00EC3FED">
              <w:rPr>
                <w:b/>
                <w:bCs/>
                <w:sz w:val="24"/>
                <w:szCs w:val="24"/>
              </w:rPr>
              <w:t>.</w:t>
            </w:r>
            <w:r w:rsidR="00D82744" w:rsidRPr="00EC3FED">
              <w:rPr>
                <w:b/>
                <w:bCs/>
                <w:sz w:val="24"/>
                <w:szCs w:val="24"/>
              </w:rPr>
              <w:tab/>
              <w:t>BACKGROUND PAPERS FOR INSPECTION (OTHER THAN PUBLISHED DOCUMENTS)</w:t>
            </w:r>
          </w:p>
        </w:tc>
      </w:tr>
    </w:tbl>
    <w:p w:rsidR="00D82744" w:rsidRDefault="00D82744" w:rsidP="00D82744">
      <w:pPr>
        <w:pStyle w:val="BodyTextIndent2"/>
        <w:rPr>
          <w:sz w:val="24"/>
          <w:szCs w:val="24"/>
        </w:rPr>
      </w:pPr>
    </w:p>
    <w:p w:rsidR="003A3FC4" w:rsidRPr="001F34DE" w:rsidRDefault="003A3FC4" w:rsidP="001F34DE">
      <w:pPr>
        <w:pStyle w:val="PlainText"/>
        <w:ind w:left="720" w:hanging="720"/>
        <w:rPr>
          <w:rFonts w:ascii="Arial" w:hAnsi="Arial" w:cs="Arial"/>
          <w:bCs/>
          <w:sz w:val="24"/>
          <w:szCs w:val="24"/>
        </w:rPr>
      </w:pPr>
      <w:r w:rsidRPr="001F34DE">
        <w:rPr>
          <w:rFonts w:ascii="Arial" w:hAnsi="Arial" w:cs="Arial"/>
          <w:bCs/>
          <w:sz w:val="24"/>
          <w:szCs w:val="24"/>
        </w:rPr>
        <w:t>None</w:t>
      </w:r>
      <w:r w:rsidR="00654084">
        <w:rPr>
          <w:rFonts w:ascii="Arial" w:hAnsi="Arial" w:cs="Arial"/>
          <w:bCs/>
          <w:sz w:val="24"/>
          <w:szCs w:val="24"/>
        </w:rPr>
        <w:t>.</w:t>
      </w:r>
    </w:p>
    <w:p w:rsidR="005B1FBE" w:rsidRDefault="005B1FBE">
      <w:pPr>
        <w:outlineLvl w:val="4"/>
        <w:rPr>
          <w:sz w:val="24"/>
          <w:szCs w:val="24"/>
        </w:rPr>
      </w:pPr>
    </w:p>
    <w:p w:rsidR="003A3FC4" w:rsidRDefault="003A3FC4">
      <w:pPr>
        <w:outlineLvl w:val="4"/>
        <w:rPr>
          <w:sz w:val="24"/>
          <w:szCs w:val="24"/>
        </w:rPr>
      </w:pPr>
    </w:p>
    <w:p w:rsidR="00AC669E" w:rsidRDefault="00AC669E">
      <w:pPr>
        <w:outlineLvl w:val="4"/>
        <w:rPr>
          <w:sz w:val="24"/>
          <w:szCs w:val="24"/>
        </w:rPr>
      </w:pPr>
    </w:p>
    <w:p w:rsidR="00AC669E" w:rsidRDefault="00AC669E">
      <w:pPr>
        <w:outlineLvl w:val="4"/>
        <w:rPr>
          <w:sz w:val="24"/>
          <w:szCs w:val="24"/>
        </w:rPr>
      </w:pPr>
    </w:p>
    <w:sectPr w:rsidR="00AC669E" w:rsidSect="0003402B">
      <w:headerReference w:type="even" r:id="rId13"/>
      <w:headerReference w:type="default" r:id="rId14"/>
      <w:footerReference w:type="even" r:id="rId15"/>
      <w:footerReference w:type="default" r:id="rId16"/>
      <w:headerReference w:type="first" r:id="rId17"/>
      <w:footerReference w:type="first" r:id="rId18"/>
      <w:pgSz w:w="11906" w:h="16838"/>
      <w:pgMar w:top="1440" w:right="1418" w:bottom="1440" w:left="1418" w:header="561"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EE3" w:rsidRDefault="00F37EE3">
      <w:r>
        <w:separator/>
      </w:r>
    </w:p>
  </w:endnote>
  <w:endnote w:type="continuationSeparator" w:id="0">
    <w:p w:rsidR="00F37EE3" w:rsidRDefault="00F3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E1" w:rsidRDefault="00546D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E1" w:rsidRDefault="00546D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E1" w:rsidRDefault="00546D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EE3" w:rsidRDefault="00F37EE3">
      <w:r>
        <w:separator/>
      </w:r>
    </w:p>
  </w:footnote>
  <w:footnote w:type="continuationSeparator" w:id="0">
    <w:p w:rsidR="00F37EE3" w:rsidRDefault="00F37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E1" w:rsidRDefault="00546D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E1" w:rsidRDefault="00546D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E1" w:rsidRDefault="00546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7C8"/>
    <w:multiLevelType w:val="hybridMultilevel"/>
    <w:tmpl w:val="811CB2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4647F"/>
    <w:multiLevelType w:val="hybridMultilevel"/>
    <w:tmpl w:val="39E8F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077AA2"/>
    <w:multiLevelType w:val="hybridMultilevel"/>
    <w:tmpl w:val="AA866A30"/>
    <w:lvl w:ilvl="0" w:tplc="469E7950">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4222A"/>
    <w:multiLevelType w:val="hybridMultilevel"/>
    <w:tmpl w:val="DE667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B13C8F"/>
    <w:multiLevelType w:val="multilevel"/>
    <w:tmpl w:val="F5B85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30644A"/>
    <w:multiLevelType w:val="hybridMultilevel"/>
    <w:tmpl w:val="9F66A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1047AFD"/>
    <w:multiLevelType w:val="hybridMultilevel"/>
    <w:tmpl w:val="6A4A32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53075C"/>
    <w:multiLevelType w:val="hybridMultilevel"/>
    <w:tmpl w:val="E60E676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3C63B53"/>
    <w:multiLevelType w:val="multilevel"/>
    <w:tmpl w:val="DD185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99136F"/>
    <w:multiLevelType w:val="hybridMultilevel"/>
    <w:tmpl w:val="951CFF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F3D94"/>
    <w:multiLevelType w:val="hybridMultilevel"/>
    <w:tmpl w:val="6B2C06C2"/>
    <w:lvl w:ilvl="0" w:tplc="A398811A">
      <w:start w:val="1"/>
      <w:numFmt w:val="bullet"/>
      <w:lvlText w:val=""/>
      <w:lvlJc w:val="left"/>
      <w:pPr>
        <w:ind w:left="1514" w:hanging="360"/>
      </w:pPr>
      <w:rPr>
        <w:rFonts w:ascii="Symbol" w:hAnsi="Symbol" w:hint="default"/>
        <w:color w:val="auto"/>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1" w15:restartNumberingAfterBreak="0">
    <w:nsid w:val="28B273A0"/>
    <w:multiLevelType w:val="hybridMultilevel"/>
    <w:tmpl w:val="0C044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F224F0"/>
    <w:multiLevelType w:val="hybridMultilevel"/>
    <w:tmpl w:val="81FAF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A15D08"/>
    <w:multiLevelType w:val="hybridMultilevel"/>
    <w:tmpl w:val="8C980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1542B47"/>
    <w:multiLevelType w:val="hybridMultilevel"/>
    <w:tmpl w:val="D9AE96CE"/>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4A97A6D"/>
    <w:multiLevelType w:val="hybridMultilevel"/>
    <w:tmpl w:val="1A1633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F17F72"/>
    <w:multiLevelType w:val="hybridMultilevel"/>
    <w:tmpl w:val="B9E8716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7" w15:restartNumberingAfterBreak="0">
    <w:nsid w:val="3D256AA8"/>
    <w:multiLevelType w:val="multilevel"/>
    <w:tmpl w:val="FAC273EC"/>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3D04A28"/>
    <w:multiLevelType w:val="hybridMultilevel"/>
    <w:tmpl w:val="29F4E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A5E07"/>
    <w:multiLevelType w:val="hybridMultilevel"/>
    <w:tmpl w:val="171C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30A89"/>
    <w:multiLevelType w:val="hybridMultilevel"/>
    <w:tmpl w:val="C8F03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A174DB"/>
    <w:multiLevelType w:val="hybridMultilevel"/>
    <w:tmpl w:val="B2004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421D8A"/>
    <w:multiLevelType w:val="multilevel"/>
    <w:tmpl w:val="499C7E4C"/>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2322B7"/>
    <w:multiLevelType w:val="hybridMultilevel"/>
    <w:tmpl w:val="3E7CA2F6"/>
    <w:lvl w:ilvl="0" w:tplc="62FE15D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215195C"/>
    <w:multiLevelType w:val="hybridMultilevel"/>
    <w:tmpl w:val="336C40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3FD2FD7"/>
    <w:multiLevelType w:val="multilevel"/>
    <w:tmpl w:val="36EC7CE0"/>
    <w:lvl w:ilvl="0">
      <w:start w:val="2"/>
      <w:numFmt w:val="decimal"/>
      <w:lvlText w:val="%1"/>
      <w:lvlJc w:val="left"/>
      <w:pPr>
        <w:ind w:left="465" w:hanging="465"/>
      </w:pPr>
      <w:rPr>
        <w:rFonts w:hint="default"/>
        <w:b/>
      </w:rPr>
    </w:lvl>
    <w:lvl w:ilvl="1">
      <w:start w:val="12"/>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A5C20D3"/>
    <w:multiLevelType w:val="hybridMultilevel"/>
    <w:tmpl w:val="0108D5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8418FD"/>
    <w:multiLevelType w:val="hybridMultilevel"/>
    <w:tmpl w:val="F70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9877B6"/>
    <w:multiLevelType w:val="hybridMultilevel"/>
    <w:tmpl w:val="AD2C0C8C"/>
    <w:lvl w:ilvl="0" w:tplc="A46C2FB8">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DC2268"/>
    <w:multiLevelType w:val="hybridMultilevel"/>
    <w:tmpl w:val="5C7092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87205D6"/>
    <w:multiLevelType w:val="hybridMultilevel"/>
    <w:tmpl w:val="0B342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4E7EE5"/>
    <w:multiLevelType w:val="hybridMultilevel"/>
    <w:tmpl w:val="E9308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3210BA"/>
    <w:multiLevelType w:val="hybridMultilevel"/>
    <w:tmpl w:val="E03E58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C74872"/>
    <w:multiLevelType w:val="hybridMultilevel"/>
    <w:tmpl w:val="FE5009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29"/>
  </w:num>
  <w:num w:numId="4">
    <w:abstractNumId w:val="11"/>
  </w:num>
  <w:num w:numId="5">
    <w:abstractNumId w:val="5"/>
  </w:num>
  <w:num w:numId="6">
    <w:abstractNumId w:val="24"/>
  </w:num>
  <w:num w:numId="7">
    <w:abstractNumId w:val="32"/>
  </w:num>
  <w:num w:numId="8">
    <w:abstractNumId w:val="17"/>
  </w:num>
  <w:num w:numId="9">
    <w:abstractNumId w:val="23"/>
  </w:num>
  <w:num w:numId="10">
    <w:abstractNumId w:val="6"/>
  </w:num>
  <w:num w:numId="11">
    <w:abstractNumId w:val="4"/>
  </w:num>
  <w:num w:numId="12">
    <w:abstractNumId w:val="30"/>
  </w:num>
  <w:num w:numId="13">
    <w:abstractNumId w:val="33"/>
  </w:num>
  <w:num w:numId="14">
    <w:abstractNumId w:val="28"/>
  </w:num>
  <w:num w:numId="15">
    <w:abstractNumId w:val="10"/>
  </w:num>
  <w:num w:numId="16">
    <w:abstractNumId w:val="27"/>
  </w:num>
  <w:num w:numId="17">
    <w:abstractNumId w:val="26"/>
  </w:num>
  <w:num w:numId="18">
    <w:abstractNumId w:val="0"/>
  </w:num>
  <w:num w:numId="19">
    <w:abstractNumId w:val="2"/>
  </w:num>
  <w:num w:numId="20">
    <w:abstractNumId w:val="1"/>
  </w:num>
  <w:num w:numId="21">
    <w:abstractNumId w:val="20"/>
  </w:num>
  <w:num w:numId="22">
    <w:abstractNumId w:val="21"/>
  </w:num>
  <w:num w:numId="23">
    <w:abstractNumId w:val="8"/>
  </w:num>
  <w:num w:numId="24">
    <w:abstractNumId w:val="16"/>
  </w:num>
  <w:num w:numId="25">
    <w:abstractNumId w:val="25"/>
  </w:num>
  <w:num w:numId="26">
    <w:abstractNumId w:val="15"/>
  </w:num>
  <w:num w:numId="27">
    <w:abstractNumId w:val="7"/>
  </w:num>
  <w:num w:numId="28">
    <w:abstractNumId w:val="22"/>
  </w:num>
  <w:num w:numId="29">
    <w:abstractNumId w:val="14"/>
  </w:num>
  <w:num w:numId="30">
    <w:abstractNumId w:val="9"/>
  </w:num>
  <w:num w:numId="31">
    <w:abstractNumId w:val="19"/>
  </w:num>
  <w:num w:numId="32">
    <w:abstractNumId w:val="18"/>
  </w:num>
  <w:num w:numId="33">
    <w:abstractNumId w:val="12"/>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44"/>
    <w:rsid w:val="000016CF"/>
    <w:rsid w:val="00004CAA"/>
    <w:rsid w:val="0000756E"/>
    <w:rsid w:val="000101EC"/>
    <w:rsid w:val="00020501"/>
    <w:rsid w:val="000252D5"/>
    <w:rsid w:val="00025388"/>
    <w:rsid w:val="00025DEF"/>
    <w:rsid w:val="00026540"/>
    <w:rsid w:val="00033ABC"/>
    <w:rsid w:val="00033C08"/>
    <w:rsid w:val="00033C42"/>
    <w:rsid w:val="0003402B"/>
    <w:rsid w:val="000344EB"/>
    <w:rsid w:val="00036704"/>
    <w:rsid w:val="00037CB3"/>
    <w:rsid w:val="00041522"/>
    <w:rsid w:val="00046F17"/>
    <w:rsid w:val="000506CD"/>
    <w:rsid w:val="0005084E"/>
    <w:rsid w:val="0005098E"/>
    <w:rsid w:val="000516FD"/>
    <w:rsid w:val="000528D9"/>
    <w:rsid w:val="0005291E"/>
    <w:rsid w:val="000543C5"/>
    <w:rsid w:val="0005553B"/>
    <w:rsid w:val="00056077"/>
    <w:rsid w:val="00061928"/>
    <w:rsid w:val="00065120"/>
    <w:rsid w:val="000674A7"/>
    <w:rsid w:val="000676E2"/>
    <w:rsid w:val="00071D17"/>
    <w:rsid w:val="0007330D"/>
    <w:rsid w:val="00081233"/>
    <w:rsid w:val="00081788"/>
    <w:rsid w:val="00083E8E"/>
    <w:rsid w:val="0008547F"/>
    <w:rsid w:val="0008662C"/>
    <w:rsid w:val="00091412"/>
    <w:rsid w:val="000936C8"/>
    <w:rsid w:val="00094797"/>
    <w:rsid w:val="000967B6"/>
    <w:rsid w:val="000A0284"/>
    <w:rsid w:val="000A0D04"/>
    <w:rsid w:val="000A3594"/>
    <w:rsid w:val="000A3749"/>
    <w:rsid w:val="000A4699"/>
    <w:rsid w:val="000A5805"/>
    <w:rsid w:val="000B6414"/>
    <w:rsid w:val="000B6C73"/>
    <w:rsid w:val="000C2E1D"/>
    <w:rsid w:val="000C43AA"/>
    <w:rsid w:val="000C45E3"/>
    <w:rsid w:val="000C4FCB"/>
    <w:rsid w:val="000C5603"/>
    <w:rsid w:val="000C5E79"/>
    <w:rsid w:val="000C6955"/>
    <w:rsid w:val="000D17EB"/>
    <w:rsid w:val="000D3007"/>
    <w:rsid w:val="000D3CDB"/>
    <w:rsid w:val="000E2E43"/>
    <w:rsid w:val="000E3424"/>
    <w:rsid w:val="000E4ED3"/>
    <w:rsid w:val="000E5214"/>
    <w:rsid w:val="000E5DBE"/>
    <w:rsid w:val="000E64D2"/>
    <w:rsid w:val="000E712B"/>
    <w:rsid w:val="000E747D"/>
    <w:rsid w:val="000F187A"/>
    <w:rsid w:val="000F36C1"/>
    <w:rsid w:val="000F3832"/>
    <w:rsid w:val="00101BB2"/>
    <w:rsid w:val="001051F4"/>
    <w:rsid w:val="001064DC"/>
    <w:rsid w:val="00106FB0"/>
    <w:rsid w:val="001129A2"/>
    <w:rsid w:val="001153A2"/>
    <w:rsid w:val="00115CA4"/>
    <w:rsid w:val="0011781A"/>
    <w:rsid w:val="00117D6B"/>
    <w:rsid w:val="00120B3E"/>
    <w:rsid w:val="00120E98"/>
    <w:rsid w:val="00121A7D"/>
    <w:rsid w:val="00122297"/>
    <w:rsid w:val="0012472E"/>
    <w:rsid w:val="00127EA0"/>
    <w:rsid w:val="00143325"/>
    <w:rsid w:val="00143AB6"/>
    <w:rsid w:val="00143EF9"/>
    <w:rsid w:val="00144BB8"/>
    <w:rsid w:val="001479D9"/>
    <w:rsid w:val="00150814"/>
    <w:rsid w:val="001547BF"/>
    <w:rsid w:val="00155D83"/>
    <w:rsid w:val="00160D4C"/>
    <w:rsid w:val="001618C9"/>
    <w:rsid w:val="0016331E"/>
    <w:rsid w:val="00163CED"/>
    <w:rsid w:val="00165D05"/>
    <w:rsid w:val="00170ACF"/>
    <w:rsid w:val="00171D86"/>
    <w:rsid w:val="001734F3"/>
    <w:rsid w:val="00173BF9"/>
    <w:rsid w:val="00174F31"/>
    <w:rsid w:val="001841AC"/>
    <w:rsid w:val="00185A3D"/>
    <w:rsid w:val="00186E21"/>
    <w:rsid w:val="0018770A"/>
    <w:rsid w:val="00187B6A"/>
    <w:rsid w:val="00191C95"/>
    <w:rsid w:val="00194ED3"/>
    <w:rsid w:val="00196E80"/>
    <w:rsid w:val="001A0048"/>
    <w:rsid w:val="001A162B"/>
    <w:rsid w:val="001A3239"/>
    <w:rsid w:val="001A3BF4"/>
    <w:rsid w:val="001A3D6F"/>
    <w:rsid w:val="001B208C"/>
    <w:rsid w:val="001B23AF"/>
    <w:rsid w:val="001B6B8F"/>
    <w:rsid w:val="001B77E9"/>
    <w:rsid w:val="001C180D"/>
    <w:rsid w:val="001C4C21"/>
    <w:rsid w:val="001C6F01"/>
    <w:rsid w:val="001D13EE"/>
    <w:rsid w:val="001D1ED7"/>
    <w:rsid w:val="001D5EEA"/>
    <w:rsid w:val="001E442E"/>
    <w:rsid w:val="001E4FD0"/>
    <w:rsid w:val="001E575B"/>
    <w:rsid w:val="001E6319"/>
    <w:rsid w:val="001F0431"/>
    <w:rsid w:val="001F34DE"/>
    <w:rsid w:val="001F4876"/>
    <w:rsid w:val="001F629E"/>
    <w:rsid w:val="00203FF9"/>
    <w:rsid w:val="0020406A"/>
    <w:rsid w:val="00206390"/>
    <w:rsid w:val="00206472"/>
    <w:rsid w:val="00206E07"/>
    <w:rsid w:val="00207432"/>
    <w:rsid w:val="0021323F"/>
    <w:rsid w:val="0021614F"/>
    <w:rsid w:val="0021767A"/>
    <w:rsid w:val="00217E86"/>
    <w:rsid w:val="002201A8"/>
    <w:rsid w:val="002266E9"/>
    <w:rsid w:val="00226891"/>
    <w:rsid w:val="00227CB3"/>
    <w:rsid w:val="002307EC"/>
    <w:rsid w:val="00232871"/>
    <w:rsid w:val="00233F8B"/>
    <w:rsid w:val="00235E24"/>
    <w:rsid w:val="00236186"/>
    <w:rsid w:val="00236562"/>
    <w:rsid w:val="00240363"/>
    <w:rsid w:val="00240F8E"/>
    <w:rsid w:val="00241115"/>
    <w:rsid w:val="0024155B"/>
    <w:rsid w:val="002451B3"/>
    <w:rsid w:val="00245CCE"/>
    <w:rsid w:val="00246579"/>
    <w:rsid w:val="002514E3"/>
    <w:rsid w:val="00255FE1"/>
    <w:rsid w:val="00262186"/>
    <w:rsid w:val="00264447"/>
    <w:rsid w:val="00265CC4"/>
    <w:rsid w:val="002668F7"/>
    <w:rsid w:val="00267633"/>
    <w:rsid w:val="00271BC0"/>
    <w:rsid w:val="00271F25"/>
    <w:rsid w:val="0027274B"/>
    <w:rsid w:val="002801C9"/>
    <w:rsid w:val="00287424"/>
    <w:rsid w:val="002908B9"/>
    <w:rsid w:val="002916FE"/>
    <w:rsid w:val="00291F6B"/>
    <w:rsid w:val="00292A7C"/>
    <w:rsid w:val="00295B02"/>
    <w:rsid w:val="00295EDC"/>
    <w:rsid w:val="00297801"/>
    <w:rsid w:val="002A053D"/>
    <w:rsid w:val="002A09E4"/>
    <w:rsid w:val="002A22F8"/>
    <w:rsid w:val="002A2910"/>
    <w:rsid w:val="002A4A3E"/>
    <w:rsid w:val="002A5128"/>
    <w:rsid w:val="002A5ECE"/>
    <w:rsid w:val="002A7961"/>
    <w:rsid w:val="002B01ED"/>
    <w:rsid w:val="002B1F54"/>
    <w:rsid w:val="002B3C4F"/>
    <w:rsid w:val="002B3DF1"/>
    <w:rsid w:val="002B40A7"/>
    <w:rsid w:val="002C02B4"/>
    <w:rsid w:val="002C1AB6"/>
    <w:rsid w:val="002C1BD1"/>
    <w:rsid w:val="002C320C"/>
    <w:rsid w:val="002C53EC"/>
    <w:rsid w:val="002D6D3F"/>
    <w:rsid w:val="002E2FD3"/>
    <w:rsid w:val="002E39AE"/>
    <w:rsid w:val="002E3FC3"/>
    <w:rsid w:val="002E6E67"/>
    <w:rsid w:val="002F071F"/>
    <w:rsid w:val="002F18D4"/>
    <w:rsid w:val="002F40DB"/>
    <w:rsid w:val="002F4462"/>
    <w:rsid w:val="002F6247"/>
    <w:rsid w:val="00301A8E"/>
    <w:rsid w:val="00304FB4"/>
    <w:rsid w:val="0030792D"/>
    <w:rsid w:val="003113F3"/>
    <w:rsid w:val="00314BF1"/>
    <w:rsid w:val="00314EFB"/>
    <w:rsid w:val="00315391"/>
    <w:rsid w:val="00315953"/>
    <w:rsid w:val="003203D3"/>
    <w:rsid w:val="003205FD"/>
    <w:rsid w:val="0032151B"/>
    <w:rsid w:val="00321FD1"/>
    <w:rsid w:val="00322624"/>
    <w:rsid w:val="00326AE4"/>
    <w:rsid w:val="003317C1"/>
    <w:rsid w:val="00337273"/>
    <w:rsid w:val="0033750C"/>
    <w:rsid w:val="00340CB8"/>
    <w:rsid w:val="00341170"/>
    <w:rsid w:val="0034128F"/>
    <w:rsid w:val="00343021"/>
    <w:rsid w:val="0034493F"/>
    <w:rsid w:val="0034589E"/>
    <w:rsid w:val="00347725"/>
    <w:rsid w:val="003511EB"/>
    <w:rsid w:val="0035125E"/>
    <w:rsid w:val="0035269D"/>
    <w:rsid w:val="0036029A"/>
    <w:rsid w:val="003617AC"/>
    <w:rsid w:val="00362D0E"/>
    <w:rsid w:val="0036418C"/>
    <w:rsid w:val="00364A01"/>
    <w:rsid w:val="00366199"/>
    <w:rsid w:val="00366EAD"/>
    <w:rsid w:val="00371B63"/>
    <w:rsid w:val="00372806"/>
    <w:rsid w:val="00374586"/>
    <w:rsid w:val="00377087"/>
    <w:rsid w:val="00382DA2"/>
    <w:rsid w:val="00383800"/>
    <w:rsid w:val="0038522D"/>
    <w:rsid w:val="00385B9D"/>
    <w:rsid w:val="00392050"/>
    <w:rsid w:val="0039251D"/>
    <w:rsid w:val="00393E81"/>
    <w:rsid w:val="00394C65"/>
    <w:rsid w:val="00395AB9"/>
    <w:rsid w:val="003A0CA3"/>
    <w:rsid w:val="003A2A72"/>
    <w:rsid w:val="003A3FC4"/>
    <w:rsid w:val="003A47CA"/>
    <w:rsid w:val="003A496B"/>
    <w:rsid w:val="003B02A4"/>
    <w:rsid w:val="003B2EC0"/>
    <w:rsid w:val="003B6A39"/>
    <w:rsid w:val="003B7E10"/>
    <w:rsid w:val="003C037F"/>
    <w:rsid w:val="003C1688"/>
    <w:rsid w:val="003C2731"/>
    <w:rsid w:val="003C343C"/>
    <w:rsid w:val="003C42C6"/>
    <w:rsid w:val="003C62D6"/>
    <w:rsid w:val="003D046B"/>
    <w:rsid w:val="003D3CA6"/>
    <w:rsid w:val="003D4078"/>
    <w:rsid w:val="003D45AC"/>
    <w:rsid w:val="003D53D1"/>
    <w:rsid w:val="003D6CA1"/>
    <w:rsid w:val="003E0E9C"/>
    <w:rsid w:val="003E390B"/>
    <w:rsid w:val="003E419C"/>
    <w:rsid w:val="003E4369"/>
    <w:rsid w:val="003E621B"/>
    <w:rsid w:val="003F1DFB"/>
    <w:rsid w:val="003F29F1"/>
    <w:rsid w:val="003F40C8"/>
    <w:rsid w:val="003F540F"/>
    <w:rsid w:val="003F6E60"/>
    <w:rsid w:val="00401D7F"/>
    <w:rsid w:val="00401F17"/>
    <w:rsid w:val="00406F3F"/>
    <w:rsid w:val="0040711F"/>
    <w:rsid w:val="0041387C"/>
    <w:rsid w:val="004148EC"/>
    <w:rsid w:val="00415DD5"/>
    <w:rsid w:val="004254EC"/>
    <w:rsid w:val="00425FB0"/>
    <w:rsid w:val="00426B6F"/>
    <w:rsid w:val="00426C21"/>
    <w:rsid w:val="0042722E"/>
    <w:rsid w:val="00427512"/>
    <w:rsid w:val="004302C7"/>
    <w:rsid w:val="00431567"/>
    <w:rsid w:val="00431E90"/>
    <w:rsid w:val="00432444"/>
    <w:rsid w:val="0043374D"/>
    <w:rsid w:val="00436C18"/>
    <w:rsid w:val="004372A5"/>
    <w:rsid w:val="004374BB"/>
    <w:rsid w:val="004378A6"/>
    <w:rsid w:val="00437D85"/>
    <w:rsid w:val="0044082B"/>
    <w:rsid w:val="004411B6"/>
    <w:rsid w:val="00442C1D"/>
    <w:rsid w:val="00443E2C"/>
    <w:rsid w:val="004442A3"/>
    <w:rsid w:val="00444E27"/>
    <w:rsid w:val="00446EF1"/>
    <w:rsid w:val="00451F63"/>
    <w:rsid w:val="004525FA"/>
    <w:rsid w:val="004536AF"/>
    <w:rsid w:val="0045471A"/>
    <w:rsid w:val="0045495E"/>
    <w:rsid w:val="00456CCD"/>
    <w:rsid w:val="00460783"/>
    <w:rsid w:val="00462DBA"/>
    <w:rsid w:val="00464844"/>
    <w:rsid w:val="00464911"/>
    <w:rsid w:val="004660EB"/>
    <w:rsid w:val="00470028"/>
    <w:rsid w:val="0047353D"/>
    <w:rsid w:val="0047476C"/>
    <w:rsid w:val="00475864"/>
    <w:rsid w:val="00480695"/>
    <w:rsid w:val="00486F12"/>
    <w:rsid w:val="0048762B"/>
    <w:rsid w:val="00487EE4"/>
    <w:rsid w:val="00491DDE"/>
    <w:rsid w:val="00492371"/>
    <w:rsid w:val="004931F1"/>
    <w:rsid w:val="004932AA"/>
    <w:rsid w:val="0049429E"/>
    <w:rsid w:val="00496A18"/>
    <w:rsid w:val="00496E5A"/>
    <w:rsid w:val="00497BBB"/>
    <w:rsid w:val="004A1DD6"/>
    <w:rsid w:val="004A44B6"/>
    <w:rsid w:val="004A4B38"/>
    <w:rsid w:val="004A5C44"/>
    <w:rsid w:val="004A5C64"/>
    <w:rsid w:val="004A7006"/>
    <w:rsid w:val="004B2FFC"/>
    <w:rsid w:val="004B5972"/>
    <w:rsid w:val="004B6B0B"/>
    <w:rsid w:val="004C0C5B"/>
    <w:rsid w:val="004C1986"/>
    <w:rsid w:val="004C33E7"/>
    <w:rsid w:val="004C4017"/>
    <w:rsid w:val="004C4ADF"/>
    <w:rsid w:val="004C4DC7"/>
    <w:rsid w:val="004C5F0D"/>
    <w:rsid w:val="004C6973"/>
    <w:rsid w:val="004C7751"/>
    <w:rsid w:val="004D0DE0"/>
    <w:rsid w:val="004D0E78"/>
    <w:rsid w:val="004D0F73"/>
    <w:rsid w:val="004D1129"/>
    <w:rsid w:val="004D237D"/>
    <w:rsid w:val="004D3040"/>
    <w:rsid w:val="004D626F"/>
    <w:rsid w:val="004D6951"/>
    <w:rsid w:val="004D784F"/>
    <w:rsid w:val="004E0211"/>
    <w:rsid w:val="004E03E1"/>
    <w:rsid w:val="004E14C7"/>
    <w:rsid w:val="004E4294"/>
    <w:rsid w:val="004E475D"/>
    <w:rsid w:val="004F1255"/>
    <w:rsid w:val="004F18D8"/>
    <w:rsid w:val="004F1CD4"/>
    <w:rsid w:val="004F4741"/>
    <w:rsid w:val="004F63D8"/>
    <w:rsid w:val="004F691A"/>
    <w:rsid w:val="004F79FF"/>
    <w:rsid w:val="00500AA8"/>
    <w:rsid w:val="005014C8"/>
    <w:rsid w:val="00504118"/>
    <w:rsid w:val="005101FE"/>
    <w:rsid w:val="00510855"/>
    <w:rsid w:val="005112A2"/>
    <w:rsid w:val="005131ED"/>
    <w:rsid w:val="00517038"/>
    <w:rsid w:val="00517833"/>
    <w:rsid w:val="0052003D"/>
    <w:rsid w:val="00521C14"/>
    <w:rsid w:val="0052236A"/>
    <w:rsid w:val="0052391A"/>
    <w:rsid w:val="00524173"/>
    <w:rsid w:val="00525E64"/>
    <w:rsid w:val="005277E2"/>
    <w:rsid w:val="00530821"/>
    <w:rsid w:val="00534081"/>
    <w:rsid w:val="00534240"/>
    <w:rsid w:val="00535C05"/>
    <w:rsid w:val="0054060A"/>
    <w:rsid w:val="00540B99"/>
    <w:rsid w:val="005412BD"/>
    <w:rsid w:val="0054150B"/>
    <w:rsid w:val="005422BF"/>
    <w:rsid w:val="005430E4"/>
    <w:rsid w:val="00546DE1"/>
    <w:rsid w:val="005500F7"/>
    <w:rsid w:val="00553D30"/>
    <w:rsid w:val="00553F26"/>
    <w:rsid w:val="0055479C"/>
    <w:rsid w:val="00556361"/>
    <w:rsid w:val="00557ED8"/>
    <w:rsid w:val="005649D5"/>
    <w:rsid w:val="00565DA9"/>
    <w:rsid w:val="005720FA"/>
    <w:rsid w:val="00574F67"/>
    <w:rsid w:val="00575323"/>
    <w:rsid w:val="005764E0"/>
    <w:rsid w:val="00576FF3"/>
    <w:rsid w:val="00577AC1"/>
    <w:rsid w:val="00580C1E"/>
    <w:rsid w:val="005823B7"/>
    <w:rsid w:val="005868E5"/>
    <w:rsid w:val="00587F39"/>
    <w:rsid w:val="00590244"/>
    <w:rsid w:val="00591FC6"/>
    <w:rsid w:val="00593B98"/>
    <w:rsid w:val="00593FD8"/>
    <w:rsid w:val="0059471D"/>
    <w:rsid w:val="00595E65"/>
    <w:rsid w:val="00596EB5"/>
    <w:rsid w:val="00597CC7"/>
    <w:rsid w:val="005A2399"/>
    <w:rsid w:val="005A272E"/>
    <w:rsid w:val="005A3516"/>
    <w:rsid w:val="005A3BC4"/>
    <w:rsid w:val="005A44A8"/>
    <w:rsid w:val="005B1FBE"/>
    <w:rsid w:val="005B2672"/>
    <w:rsid w:val="005B3EC2"/>
    <w:rsid w:val="005B5518"/>
    <w:rsid w:val="005B6363"/>
    <w:rsid w:val="005B7092"/>
    <w:rsid w:val="005B73F3"/>
    <w:rsid w:val="005C264C"/>
    <w:rsid w:val="005C27F8"/>
    <w:rsid w:val="005C2871"/>
    <w:rsid w:val="005C3938"/>
    <w:rsid w:val="005C42B6"/>
    <w:rsid w:val="005D280F"/>
    <w:rsid w:val="005E039E"/>
    <w:rsid w:val="005E28DA"/>
    <w:rsid w:val="005F0B57"/>
    <w:rsid w:val="005F4399"/>
    <w:rsid w:val="005F57C6"/>
    <w:rsid w:val="005F789F"/>
    <w:rsid w:val="006000CD"/>
    <w:rsid w:val="00600E6A"/>
    <w:rsid w:val="00603E2A"/>
    <w:rsid w:val="00606339"/>
    <w:rsid w:val="0061071D"/>
    <w:rsid w:val="00612B1E"/>
    <w:rsid w:val="00614746"/>
    <w:rsid w:val="00615A49"/>
    <w:rsid w:val="00615D95"/>
    <w:rsid w:val="006235B4"/>
    <w:rsid w:val="00624C19"/>
    <w:rsid w:val="00626411"/>
    <w:rsid w:val="00627F23"/>
    <w:rsid w:val="00631A4D"/>
    <w:rsid w:val="00631AB6"/>
    <w:rsid w:val="0063316F"/>
    <w:rsid w:val="00633D15"/>
    <w:rsid w:val="006345D6"/>
    <w:rsid w:val="0063682F"/>
    <w:rsid w:val="00640275"/>
    <w:rsid w:val="00640851"/>
    <w:rsid w:val="0064311E"/>
    <w:rsid w:val="006467BF"/>
    <w:rsid w:val="00651CBC"/>
    <w:rsid w:val="0065310D"/>
    <w:rsid w:val="00654084"/>
    <w:rsid w:val="00656B74"/>
    <w:rsid w:val="006574FB"/>
    <w:rsid w:val="00657657"/>
    <w:rsid w:val="006628B1"/>
    <w:rsid w:val="00662CEA"/>
    <w:rsid w:val="00663F8E"/>
    <w:rsid w:val="0067245B"/>
    <w:rsid w:val="006734FC"/>
    <w:rsid w:val="00675DCD"/>
    <w:rsid w:val="00680F1A"/>
    <w:rsid w:val="006838E8"/>
    <w:rsid w:val="00686721"/>
    <w:rsid w:val="006900B5"/>
    <w:rsid w:val="0069019C"/>
    <w:rsid w:val="006917A2"/>
    <w:rsid w:val="00693223"/>
    <w:rsid w:val="00694361"/>
    <w:rsid w:val="006A1009"/>
    <w:rsid w:val="006A1350"/>
    <w:rsid w:val="006A20D7"/>
    <w:rsid w:val="006A2CB8"/>
    <w:rsid w:val="006A3523"/>
    <w:rsid w:val="006A4E4A"/>
    <w:rsid w:val="006A5A73"/>
    <w:rsid w:val="006A5E9C"/>
    <w:rsid w:val="006A6E92"/>
    <w:rsid w:val="006A7F39"/>
    <w:rsid w:val="006B1EAC"/>
    <w:rsid w:val="006B727B"/>
    <w:rsid w:val="006C0CB0"/>
    <w:rsid w:val="006C10A3"/>
    <w:rsid w:val="006C1B24"/>
    <w:rsid w:val="006C1E8A"/>
    <w:rsid w:val="006C53B9"/>
    <w:rsid w:val="006C61D9"/>
    <w:rsid w:val="006C6BFD"/>
    <w:rsid w:val="006C75F4"/>
    <w:rsid w:val="006D2534"/>
    <w:rsid w:val="006D2708"/>
    <w:rsid w:val="006D63FF"/>
    <w:rsid w:val="006E03EB"/>
    <w:rsid w:val="006E20E1"/>
    <w:rsid w:val="006E3FC2"/>
    <w:rsid w:val="006E78CC"/>
    <w:rsid w:val="006F2ABA"/>
    <w:rsid w:val="006F4F5F"/>
    <w:rsid w:val="006F6EA8"/>
    <w:rsid w:val="007000D3"/>
    <w:rsid w:val="007009CF"/>
    <w:rsid w:val="00702BD0"/>
    <w:rsid w:val="007032A1"/>
    <w:rsid w:val="00705358"/>
    <w:rsid w:val="0070648D"/>
    <w:rsid w:val="00706B97"/>
    <w:rsid w:val="00710564"/>
    <w:rsid w:val="00714352"/>
    <w:rsid w:val="00716AF8"/>
    <w:rsid w:val="00716C00"/>
    <w:rsid w:val="00720906"/>
    <w:rsid w:val="0072751B"/>
    <w:rsid w:val="00732087"/>
    <w:rsid w:val="007363F6"/>
    <w:rsid w:val="00736D52"/>
    <w:rsid w:val="00743740"/>
    <w:rsid w:val="0074374B"/>
    <w:rsid w:val="007455FE"/>
    <w:rsid w:val="00745D71"/>
    <w:rsid w:val="007461FF"/>
    <w:rsid w:val="00753A11"/>
    <w:rsid w:val="0075541F"/>
    <w:rsid w:val="0075739C"/>
    <w:rsid w:val="00760F3A"/>
    <w:rsid w:val="007616B0"/>
    <w:rsid w:val="007641C5"/>
    <w:rsid w:val="00767DFB"/>
    <w:rsid w:val="00772279"/>
    <w:rsid w:val="00772EA5"/>
    <w:rsid w:val="00775F5E"/>
    <w:rsid w:val="00776F1F"/>
    <w:rsid w:val="00782A0C"/>
    <w:rsid w:val="007830A6"/>
    <w:rsid w:val="0078375E"/>
    <w:rsid w:val="00783ED3"/>
    <w:rsid w:val="00784160"/>
    <w:rsid w:val="007868EF"/>
    <w:rsid w:val="00787268"/>
    <w:rsid w:val="007879DF"/>
    <w:rsid w:val="0079443E"/>
    <w:rsid w:val="00796C30"/>
    <w:rsid w:val="007A10D8"/>
    <w:rsid w:val="007A1144"/>
    <w:rsid w:val="007A4A98"/>
    <w:rsid w:val="007A5244"/>
    <w:rsid w:val="007A641D"/>
    <w:rsid w:val="007B2A6D"/>
    <w:rsid w:val="007B3666"/>
    <w:rsid w:val="007B3F1D"/>
    <w:rsid w:val="007B45A9"/>
    <w:rsid w:val="007B54B6"/>
    <w:rsid w:val="007C0B42"/>
    <w:rsid w:val="007C0F7F"/>
    <w:rsid w:val="007C193D"/>
    <w:rsid w:val="007C5119"/>
    <w:rsid w:val="007D12E9"/>
    <w:rsid w:val="007D1C80"/>
    <w:rsid w:val="007D4773"/>
    <w:rsid w:val="007E0092"/>
    <w:rsid w:val="007E37CA"/>
    <w:rsid w:val="007E5C23"/>
    <w:rsid w:val="007F04C2"/>
    <w:rsid w:val="007F23A2"/>
    <w:rsid w:val="007F30C8"/>
    <w:rsid w:val="007F4C32"/>
    <w:rsid w:val="007F5223"/>
    <w:rsid w:val="008004AB"/>
    <w:rsid w:val="008021B9"/>
    <w:rsid w:val="008042A0"/>
    <w:rsid w:val="00807A97"/>
    <w:rsid w:val="00810D67"/>
    <w:rsid w:val="008111FF"/>
    <w:rsid w:val="00813894"/>
    <w:rsid w:val="008150BE"/>
    <w:rsid w:val="00816DA8"/>
    <w:rsid w:val="008207E5"/>
    <w:rsid w:val="00820F7C"/>
    <w:rsid w:val="00820FB9"/>
    <w:rsid w:val="00822CB8"/>
    <w:rsid w:val="008233B2"/>
    <w:rsid w:val="008238CF"/>
    <w:rsid w:val="00827552"/>
    <w:rsid w:val="008275EC"/>
    <w:rsid w:val="008300B2"/>
    <w:rsid w:val="008327D2"/>
    <w:rsid w:val="00833432"/>
    <w:rsid w:val="008347F7"/>
    <w:rsid w:val="0083639B"/>
    <w:rsid w:val="008373F4"/>
    <w:rsid w:val="00837C6F"/>
    <w:rsid w:val="00840380"/>
    <w:rsid w:val="00841976"/>
    <w:rsid w:val="00842DD7"/>
    <w:rsid w:val="00845F3A"/>
    <w:rsid w:val="00851697"/>
    <w:rsid w:val="00852A4B"/>
    <w:rsid w:val="00853393"/>
    <w:rsid w:val="00856062"/>
    <w:rsid w:val="008573EA"/>
    <w:rsid w:val="008617F6"/>
    <w:rsid w:val="00861AEF"/>
    <w:rsid w:val="008653C6"/>
    <w:rsid w:val="00866CF0"/>
    <w:rsid w:val="008723D0"/>
    <w:rsid w:val="00873740"/>
    <w:rsid w:val="00873F46"/>
    <w:rsid w:val="00880B1E"/>
    <w:rsid w:val="00881714"/>
    <w:rsid w:val="00881CCA"/>
    <w:rsid w:val="00882B57"/>
    <w:rsid w:val="00884FA9"/>
    <w:rsid w:val="008853E7"/>
    <w:rsid w:val="008855C0"/>
    <w:rsid w:val="00887883"/>
    <w:rsid w:val="00887D52"/>
    <w:rsid w:val="00892AB3"/>
    <w:rsid w:val="00893C60"/>
    <w:rsid w:val="00893FF8"/>
    <w:rsid w:val="008960AB"/>
    <w:rsid w:val="008968D0"/>
    <w:rsid w:val="00896DB2"/>
    <w:rsid w:val="00897C2C"/>
    <w:rsid w:val="008A041B"/>
    <w:rsid w:val="008A0648"/>
    <w:rsid w:val="008A07DB"/>
    <w:rsid w:val="008A202F"/>
    <w:rsid w:val="008A4674"/>
    <w:rsid w:val="008A4C9C"/>
    <w:rsid w:val="008A4D0A"/>
    <w:rsid w:val="008B0528"/>
    <w:rsid w:val="008B0882"/>
    <w:rsid w:val="008B3552"/>
    <w:rsid w:val="008B3CD6"/>
    <w:rsid w:val="008B3D47"/>
    <w:rsid w:val="008B6AAF"/>
    <w:rsid w:val="008C0AC0"/>
    <w:rsid w:val="008C0BEF"/>
    <w:rsid w:val="008C216A"/>
    <w:rsid w:val="008C28D9"/>
    <w:rsid w:val="008C2B52"/>
    <w:rsid w:val="008C2DDD"/>
    <w:rsid w:val="008C5E3D"/>
    <w:rsid w:val="008C7AB2"/>
    <w:rsid w:val="008C7F99"/>
    <w:rsid w:val="008D145A"/>
    <w:rsid w:val="008D4AB2"/>
    <w:rsid w:val="008D4ECB"/>
    <w:rsid w:val="008D6C42"/>
    <w:rsid w:val="008D6CCB"/>
    <w:rsid w:val="008E03BA"/>
    <w:rsid w:val="008E13BB"/>
    <w:rsid w:val="008E185F"/>
    <w:rsid w:val="008E5245"/>
    <w:rsid w:val="008F1198"/>
    <w:rsid w:val="008F1337"/>
    <w:rsid w:val="008F1583"/>
    <w:rsid w:val="008F2C4A"/>
    <w:rsid w:val="008F2CF7"/>
    <w:rsid w:val="008F4503"/>
    <w:rsid w:val="008F4E52"/>
    <w:rsid w:val="008F707E"/>
    <w:rsid w:val="008F7DFA"/>
    <w:rsid w:val="009006F0"/>
    <w:rsid w:val="009016E2"/>
    <w:rsid w:val="00904738"/>
    <w:rsid w:val="00905AEE"/>
    <w:rsid w:val="009062CE"/>
    <w:rsid w:val="009063CD"/>
    <w:rsid w:val="00906606"/>
    <w:rsid w:val="00906611"/>
    <w:rsid w:val="00907356"/>
    <w:rsid w:val="009077BC"/>
    <w:rsid w:val="00914480"/>
    <w:rsid w:val="00915F3B"/>
    <w:rsid w:val="00916890"/>
    <w:rsid w:val="00920487"/>
    <w:rsid w:val="009221AF"/>
    <w:rsid w:val="00922263"/>
    <w:rsid w:val="009239FE"/>
    <w:rsid w:val="00927A21"/>
    <w:rsid w:val="00927E41"/>
    <w:rsid w:val="009314B0"/>
    <w:rsid w:val="00937383"/>
    <w:rsid w:val="009403AB"/>
    <w:rsid w:val="00940843"/>
    <w:rsid w:val="00943924"/>
    <w:rsid w:val="009501F4"/>
    <w:rsid w:val="00952458"/>
    <w:rsid w:val="009532AA"/>
    <w:rsid w:val="00954CC8"/>
    <w:rsid w:val="009603BB"/>
    <w:rsid w:val="00960E8C"/>
    <w:rsid w:val="00961FEB"/>
    <w:rsid w:val="00964C12"/>
    <w:rsid w:val="009747F3"/>
    <w:rsid w:val="00974995"/>
    <w:rsid w:val="00982F30"/>
    <w:rsid w:val="00983704"/>
    <w:rsid w:val="009879B1"/>
    <w:rsid w:val="00993433"/>
    <w:rsid w:val="00993D30"/>
    <w:rsid w:val="00995E51"/>
    <w:rsid w:val="00996B48"/>
    <w:rsid w:val="0099708B"/>
    <w:rsid w:val="009A028C"/>
    <w:rsid w:val="009A04E7"/>
    <w:rsid w:val="009A1F45"/>
    <w:rsid w:val="009A2530"/>
    <w:rsid w:val="009A4FCC"/>
    <w:rsid w:val="009A70FB"/>
    <w:rsid w:val="009A7A19"/>
    <w:rsid w:val="009B0F5C"/>
    <w:rsid w:val="009B2E7B"/>
    <w:rsid w:val="009B66DB"/>
    <w:rsid w:val="009D051B"/>
    <w:rsid w:val="009D0938"/>
    <w:rsid w:val="009D2FC7"/>
    <w:rsid w:val="009D3390"/>
    <w:rsid w:val="009D38FC"/>
    <w:rsid w:val="009E4770"/>
    <w:rsid w:val="009E5541"/>
    <w:rsid w:val="009E680D"/>
    <w:rsid w:val="009F0422"/>
    <w:rsid w:val="009F0B4C"/>
    <w:rsid w:val="009F0D7D"/>
    <w:rsid w:val="009F28B5"/>
    <w:rsid w:val="009F334A"/>
    <w:rsid w:val="009F540A"/>
    <w:rsid w:val="009F6834"/>
    <w:rsid w:val="00A01A8C"/>
    <w:rsid w:val="00A02DEB"/>
    <w:rsid w:val="00A03BCE"/>
    <w:rsid w:val="00A04294"/>
    <w:rsid w:val="00A05F2E"/>
    <w:rsid w:val="00A11F87"/>
    <w:rsid w:val="00A21222"/>
    <w:rsid w:val="00A21C0A"/>
    <w:rsid w:val="00A22BC4"/>
    <w:rsid w:val="00A2334B"/>
    <w:rsid w:val="00A2425E"/>
    <w:rsid w:val="00A25E8C"/>
    <w:rsid w:val="00A3062A"/>
    <w:rsid w:val="00A31BA5"/>
    <w:rsid w:val="00A32392"/>
    <w:rsid w:val="00A32C45"/>
    <w:rsid w:val="00A32E00"/>
    <w:rsid w:val="00A331CE"/>
    <w:rsid w:val="00A3325A"/>
    <w:rsid w:val="00A3457B"/>
    <w:rsid w:val="00A3539F"/>
    <w:rsid w:val="00A358D0"/>
    <w:rsid w:val="00A37D1E"/>
    <w:rsid w:val="00A412F9"/>
    <w:rsid w:val="00A41827"/>
    <w:rsid w:val="00A41AA2"/>
    <w:rsid w:val="00A443E6"/>
    <w:rsid w:val="00A44A93"/>
    <w:rsid w:val="00A51915"/>
    <w:rsid w:val="00A562AE"/>
    <w:rsid w:val="00A56819"/>
    <w:rsid w:val="00A7048C"/>
    <w:rsid w:val="00A719C0"/>
    <w:rsid w:val="00A74D8A"/>
    <w:rsid w:val="00A75525"/>
    <w:rsid w:val="00A7555D"/>
    <w:rsid w:val="00A7753F"/>
    <w:rsid w:val="00A804E8"/>
    <w:rsid w:val="00A82A0D"/>
    <w:rsid w:val="00A85270"/>
    <w:rsid w:val="00A85F28"/>
    <w:rsid w:val="00A91B74"/>
    <w:rsid w:val="00A91EEB"/>
    <w:rsid w:val="00A925E8"/>
    <w:rsid w:val="00A9326B"/>
    <w:rsid w:val="00A93ABC"/>
    <w:rsid w:val="00A95DE1"/>
    <w:rsid w:val="00A96271"/>
    <w:rsid w:val="00A97D97"/>
    <w:rsid w:val="00AA3134"/>
    <w:rsid w:val="00AA3256"/>
    <w:rsid w:val="00AA4F8A"/>
    <w:rsid w:val="00AA51EB"/>
    <w:rsid w:val="00AA6BA6"/>
    <w:rsid w:val="00AA6F6D"/>
    <w:rsid w:val="00AB0B58"/>
    <w:rsid w:val="00AB1F96"/>
    <w:rsid w:val="00AB2683"/>
    <w:rsid w:val="00AB3432"/>
    <w:rsid w:val="00AB4716"/>
    <w:rsid w:val="00AB4AFE"/>
    <w:rsid w:val="00AB7645"/>
    <w:rsid w:val="00AC13A3"/>
    <w:rsid w:val="00AC168D"/>
    <w:rsid w:val="00AC1935"/>
    <w:rsid w:val="00AC4A2F"/>
    <w:rsid w:val="00AC5505"/>
    <w:rsid w:val="00AC669E"/>
    <w:rsid w:val="00AC6858"/>
    <w:rsid w:val="00AC693C"/>
    <w:rsid w:val="00AD0F4B"/>
    <w:rsid w:val="00AD2695"/>
    <w:rsid w:val="00AD2FA0"/>
    <w:rsid w:val="00AD4100"/>
    <w:rsid w:val="00AD62EF"/>
    <w:rsid w:val="00AD6525"/>
    <w:rsid w:val="00AD6BDD"/>
    <w:rsid w:val="00AE0675"/>
    <w:rsid w:val="00AE1905"/>
    <w:rsid w:val="00AE27BF"/>
    <w:rsid w:val="00AE3C4E"/>
    <w:rsid w:val="00AE4AEA"/>
    <w:rsid w:val="00AE6E47"/>
    <w:rsid w:val="00AE77A6"/>
    <w:rsid w:val="00AF0C9C"/>
    <w:rsid w:val="00AF1CA9"/>
    <w:rsid w:val="00AF6532"/>
    <w:rsid w:val="00AF775A"/>
    <w:rsid w:val="00B07739"/>
    <w:rsid w:val="00B10336"/>
    <w:rsid w:val="00B113BA"/>
    <w:rsid w:val="00B11E46"/>
    <w:rsid w:val="00B131AB"/>
    <w:rsid w:val="00B154D7"/>
    <w:rsid w:val="00B16D5F"/>
    <w:rsid w:val="00B16F44"/>
    <w:rsid w:val="00B21EE6"/>
    <w:rsid w:val="00B33DDE"/>
    <w:rsid w:val="00B33F0E"/>
    <w:rsid w:val="00B35EE3"/>
    <w:rsid w:val="00B46629"/>
    <w:rsid w:val="00B52E05"/>
    <w:rsid w:val="00B52F4E"/>
    <w:rsid w:val="00B57302"/>
    <w:rsid w:val="00B60AC2"/>
    <w:rsid w:val="00B63E54"/>
    <w:rsid w:val="00B646B1"/>
    <w:rsid w:val="00B66D85"/>
    <w:rsid w:val="00B733F9"/>
    <w:rsid w:val="00B74C8D"/>
    <w:rsid w:val="00B772F7"/>
    <w:rsid w:val="00B77630"/>
    <w:rsid w:val="00B82128"/>
    <w:rsid w:val="00B87C9C"/>
    <w:rsid w:val="00B9158A"/>
    <w:rsid w:val="00B9225E"/>
    <w:rsid w:val="00B9304E"/>
    <w:rsid w:val="00B93C9F"/>
    <w:rsid w:val="00BA2869"/>
    <w:rsid w:val="00BA4023"/>
    <w:rsid w:val="00BB0C37"/>
    <w:rsid w:val="00BB0D15"/>
    <w:rsid w:val="00BB284A"/>
    <w:rsid w:val="00BB3C3B"/>
    <w:rsid w:val="00BB62AA"/>
    <w:rsid w:val="00BB63D3"/>
    <w:rsid w:val="00BB64D5"/>
    <w:rsid w:val="00BB7378"/>
    <w:rsid w:val="00BC4537"/>
    <w:rsid w:val="00BC66BE"/>
    <w:rsid w:val="00BC7217"/>
    <w:rsid w:val="00BD544E"/>
    <w:rsid w:val="00BD5568"/>
    <w:rsid w:val="00BD7314"/>
    <w:rsid w:val="00BE099C"/>
    <w:rsid w:val="00BE2150"/>
    <w:rsid w:val="00BE2D0F"/>
    <w:rsid w:val="00BE309A"/>
    <w:rsid w:val="00BE32E2"/>
    <w:rsid w:val="00BE3E4F"/>
    <w:rsid w:val="00BE44F6"/>
    <w:rsid w:val="00BE551C"/>
    <w:rsid w:val="00BE6F7C"/>
    <w:rsid w:val="00BF2237"/>
    <w:rsid w:val="00BF5921"/>
    <w:rsid w:val="00BF61D0"/>
    <w:rsid w:val="00BF7770"/>
    <w:rsid w:val="00C012C7"/>
    <w:rsid w:val="00C026C9"/>
    <w:rsid w:val="00C02DB6"/>
    <w:rsid w:val="00C04C89"/>
    <w:rsid w:val="00C058D0"/>
    <w:rsid w:val="00C066E1"/>
    <w:rsid w:val="00C06E88"/>
    <w:rsid w:val="00C07B49"/>
    <w:rsid w:val="00C1328C"/>
    <w:rsid w:val="00C1504B"/>
    <w:rsid w:val="00C169CF"/>
    <w:rsid w:val="00C200B9"/>
    <w:rsid w:val="00C21D6C"/>
    <w:rsid w:val="00C22E8C"/>
    <w:rsid w:val="00C23760"/>
    <w:rsid w:val="00C26545"/>
    <w:rsid w:val="00C26695"/>
    <w:rsid w:val="00C30CD2"/>
    <w:rsid w:val="00C4022C"/>
    <w:rsid w:val="00C4030D"/>
    <w:rsid w:val="00C41A7A"/>
    <w:rsid w:val="00C42F7D"/>
    <w:rsid w:val="00C43D63"/>
    <w:rsid w:val="00C44377"/>
    <w:rsid w:val="00C47383"/>
    <w:rsid w:val="00C51F8F"/>
    <w:rsid w:val="00C525FC"/>
    <w:rsid w:val="00C52E84"/>
    <w:rsid w:val="00C546D7"/>
    <w:rsid w:val="00C54D03"/>
    <w:rsid w:val="00C550DE"/>
    <w:rsid w:val="00C5646B"/>
    <w:rsid w:val="00C57D76"/>
    <w:rsid w:val="00C57FF9"/>
    <w:rsid w:val="00C63C90"/>
    <w:rsid w:val="00C66524"/>
    <w:rsid w:val="00C6759D"/>
    <w:rsid w:val="00C737DE"/>
    <w:rsid w:val="00C738DF"/>
    <w:rsid w:val="00C748BC"/>
    <w:rsid w:val="00C7599B"/>
    <w:rsid w:val="00C803F9"/>
    <w:rsid w:val="00C82FF2"/>
    <w:rsid w:val="00C83161"/>
    <w:rsid w:val="00C845A8"/>
    <w:rsid w:val="00C8463A"/>
    <w:rsid w:val="00C85658"/>
    <w:rsid w:val="00C87030"/>
    <w:rsid w:val="00C90234"/>
    <w:rsid w:val="00C915DE"/>
    <w:rsid w:val="00C938ED"/>
    <w:rsid w:val="00C93F1A"/>
    <w:rsid w:val="00C93F78"/>
    <w:rsid w:val="00C95DD8"/>
    <w:rsid w:val="00CA06C6"/>
    <w:rsid w:val="00CB055F"/>
    <w:rsid w:val="00CC0DF0"/>
    <w:rsid w:val="00CC115A"/>
    <w:rsid w:val="00CC119C"/>
    <w:rsid w:val="00CC2B62"/>
    <w:rsid w:val="00CC46E7"/>
    <w:rsid w:val="00CD138E"/>
    <w:rsid w:val="00CD7A84"/>
    <w:rsid w:val="00CD7D7D"/>
    <w:rsid w:val="00CE2AE7"/>
    <w:rsid w:val="00CE36AC"/>
    <w:rsid w:val="00CE3C47"/>
    <w:rsid w:val="00CE4099"/>
    <w:rsid w:val="00CE5C0E"/>
    <w:rsid w:val="00CE61B2"/>
    <w:rsid w:val="00CE64E7"/>
    <w:rsid w:val="00CE6A76"/>
    <w:rsid w:val="00CE77BB"/>
    <w:rsid w:val="00CF1CE3"/>
    <w:rsid w:val="00CF2B80"/>
    <w:rsid w:val="00CF4FA8"/>
    <w:rsid w:val="00CF5564"/>
    <w:rsid w:val="00CF6637"/>
    <w:rsid w:val="00CF6863"/>
    <w:rsid w:val="00D00446"/>
    <w:rsid w:val="00D010E1"/>
    <w:rsid w:val="00D05A16"/>
    <w:rsid w:val="00D10487"/>
    <w:rsid w:val="00D10883"/>
    <w:rsid w:val="00D10B5B"/>
    <w:rsid w:val="00D14400"/>
    <w:rsid w:val="00D162CC"/>
    <w:rsid w:val="00D165DA"/>
    <w:rsid w:val="00D17B02"/>
    <w:rsid w:val="00D218F1"/>
    <w:rsid w:val="00D26577"/>
    <w:rsid w:val="00D27AEC"/>
    <w:rsid w:val="00D306E9"/>
    <w:rsid w:val="00D3432D"/>
    <w:rsid w:val="00D3533B"/>
    <w:rsid w:val="00D35DD8"/>
    <w:rsid w:val="00D35F13"/>
    <w:rsid w:val="00D37DB9"/>
    <w:rsid w:val="00D424F2"/>
    <w:rsid w:val="00D469C2"/>
    <w:rsid w:val="00D46B26"/>
    <w:rsid w:val="00D47886"/>
    <w:rsid w:val="00D47A8D"/>
    <w:rsid w:val="00D52084"/>
    <w:rsid w:val="00D565DD"/>
    <w:rsid w:val="00D61161"/>
    <w:rsid w:val="00D655F7"/>
    <w:rsid w:val="00D72834"/>
    <w:rsid w:val="00D73F83"/>
    <w:rsid w:val="00D80F64"/>
    <w:rsid w:val="00D81ACE"/>
    <w:rsid w:val="00D826E0"/>
    <w:rsid w:val="00D82744"/>
    <w:rsid w:val="00D833C5"/>
    <w:rsid w:val="00D86073"/>
    <w:rsid w:val="00D87052"/>
    <w:rsid w:val="00D91973"/>
    <w:rsid w:val="00D9216C"/>
    <w:rsid w:val="00D92929"/>
    <w:rsid w:val="00D94922"/>
    <w:rsid w:val="00D94E2C"/>
    <w:rsid w:val="00D95232"/>
    <w:rsid w:val="00D96B88"/>
    <w:rsid w:val="00D978D5"/>
    <w:rsid w:val="00DA29F0"/>
    <w:rsid w:val="00DA4BA1"/>
    <w:rsid w:val="00DA5419"/>
    <w:rsid w:val="00DA670B"/>
    <w:rsid w:val="00DA694E"/>
    <w:rsid w:val="00DA7653"/>
    <w:rsid w:val="00DA7775"/>
    <w:rsid w:val="00DB33DC"/>
    <w:rsid w:val="00DB3A0C"/>
    <w:rsid w:val="00DB4A89"/>
    <w:rsid w:val="00DB75E9"/>
    <w:rsid w:val="00DC01D9"/>
    <w:rsid w:val="00DC1088"/>
    <w:rsid w:val="00DC6AF7"/>
    <w:rsid w:val="00DD10BD"/>
    <w:rsid w:val="00DD18D8"/>
    <w:rsid w:val="00DD1E17"/>
    <w:rsid w:val="00DD2718"/>
    <w:rsid w:val="00DD3203"/>
    <w:rsid w:val="00DE0BC4"/>
    <w:rsid w:val="00DE1202"/>
    <w:rsid w:val="00DE338C"/>
    <w:rsid w:val="00DE4256"/>
    <w:rsid w:val="00DE4646"/>
    <w:rsid w:val="00DE5973"/>
    <w:rsid w:val="00DE59E5"/>
    <w:rsid w:val="00DF239B"/>
    <w:rsid w:val="00DF2F58"/>
    <w:rsid w:val="00DF5BA0"/>
    <w:rsid w:val="00DF6806"/>
    <w:rsid w:val="00DF685D"/>
    <w:rsid w:val="00DF7509"/>
    <w:rsid w:val="00E028D6"/>
    <w:rsid w:val="00E03529"/>
    <w:rsid w:val="00E046AE"/>
    <w:rsid w:val="00E05206"/>
    <w:rsid w:val="00E06C5D"/>
    <w:rsid w:val="00E1222D"/>
    <w:rsid w:val="00E14087"/>
    <w:rsid w:val="00E142BC"/>
    <w:rsid w:val="00E14FFF"/>
    <w:rsid w:val="00E16A7A"/>
    <w:rsid w:val="00E178E7"/>
    <w:rsid w:val="00E17CE7"/>
    <w:rsid w:val="00E2192A"/>
    <w:rsid w:val="00E27789"/>
    <w:rsid w:val="00E319E8"/>
    <w:rsid w:val="00E331DC"/>
    <w:rsid w:val="00E33BA7"/>
    <w:rsid w:val="00E36EA8"/>
    <w:rsid w:val="00E40C23"/>
    <w:rsid w:val="00E414D9"/>
    <w:rsid w:val="00E42A03"/>
    <w:rsid w:val="00E42C3F"/>
    <w:rsid w:val="00E443FD"/>
    <w:rsid w:val="00E44CAA"/>
    <w:rsid w:val="00E455C6"/>
    <w:rsid w:val="00E561DC"/>
    <w:rsid w:val="00E57F5D"/>
    <w:rsid w:val="00E612BD"/>
    <w:rsid w:val="00E64F53"/>
    <w:rsid w:val="00E66248"/>
    <w:rsid w:val="00E67F39"/>
    <w:rsid w:val="00E67FA9"/>
    <w:rsid w:val="00E71930"/>
    <w:rsid w:val="00E71ECB"/>
    <w:rsid w:val="00E74152"/>
    <w:rsid w:val="00E74CA9"/>
    <w:rsid w:val="00E7577D"/>
    <w:rsid w:val="00E77BA7"/>
    <w:rsid w:val="00E77EEE"/>
    <w:rsid w:val="00E8396C"/>
    <w:rsid w:val="00E840B5"/>
    <w:rsid w:val="00E8439B"/>
    <w:rsid w:val="00E84821"/>
    <w:rsid w:val="00E856B4"/>
    <w:rsid w:val="00E87248"/>
    <w:rsid w:val="00E872F7"/>
    <w:rsid w:val="00E90053"/>
    <w:rsid w:val="00E92B42"/>
    <w:rsid w:val="00E96327"/>
    <w:rsid w:val="00EA3A8D"/>
    <w:rsid w:val="00EA7CDD"/>
    <w:rsid w:val="00EB00A1"/>
    <w:rsid w:val="00EB09F1"/>
    <w:rsid w:val="00EB5085"/>
    <w:rsid w:val="00EB6894"/>
    <w:rsid w:val="00EB7B54"/>
    <w:rsid w:val="00EB7E6A"/>
    <w:rsid w:val="00EC0AC4"/>
    <w:rsid w:val="00EC1E99"/>
    <w:rsid w:val="00ED0BDC"/>
    <w:rsid w:val="00ED2B24"/>
    <w:rsid w:val="00ED547E"/>
    <w:rsid w:val="00ED6495"/>
    <w:rsid w:val="00EE11CC"/>
    <w:rsid w:val="00EE152F"/>
    <w:rsid w:val="00EE1DA5"/>
    <w:rsid w:val="00EE2D03"/>
    <w:rsid w:val="00EE3F96"/>
    <w:rsid w:val="00EE57E4"/>
    <w:rsid w:val="00EF0FAC"/>
    <w:rsid w:val="00EF12CF"/>
    <w:rsid w:val="00EF37C2"/>
    <w:rsid w:val="00EF3EF9"/>
    <w:rsid w:val="00EF62C6"/>
    <w:rsid w:val="00F00196"/>
    <w:rsid w:val="00F018C0"/>
    <w:rsid w:val="00F03DC7"/>
    <w:rsid w:val="00F03E9A"/>
    <w:rsid w:val="00F04CE4"/>
    <w:rsid w:val="00F113A1"/>
    <w:rsid w:val="00F124E6"/>
    <w:rsid w:val="00F128F3"/>
    <w:rsid w:val="00F14331"/>
    <w:rsid w:val="00F151ED"/>
    <w:rsid w:val="00F1572C"/>
    <w:rsid w:val="00F15BBB"/>
    <w:rsid w:val="00F16ED5"/>
    <w:rsid w:val="00F17D9A"/>
    <w:rsid w:val="00F223C0"/>
    <w:rsid w:val="00F251C9"/>
    <w:rsid w:val="00F25247"/>
    <w:rsid w:val="00F301DC"/>
    <w:rsid w:val="00F30230"/>
    <w:rsid w:val="00F33D69"/>
    <w:rsid w:val="00F3577D"/>
    <w:rsid w:val="00F36251"/>
    <w:rsid w:val="00F3625F"/>
    <w:rsid w:val="00F37EE3"/>
    <w:rsid w:val="00F42D90"/>
    <w:rsid w:val="00F43414"/>
    <w:rsid w:val="00F43438"/>
    <w:rsid w:val="00F435E4"/>
    <w:rsid w:val="00F439D0"/>
    <w:rsid w:val="00F441AB"/>
    <w:rsid w:val="00F44BA3"/>
    <w:rsid w:val="00F52AEF"/>
    <w:rsid w:val="00F52EEC"/>
    <w:rsid w:val="00F53725"/>
    <w:rsid w:val="00F53FD5"/>
    <w:rsid w:val="00F56E7D"/>
    <w:rsid w:val="00F57E6E"/>
    <w:rsid w:val="00F64D8C"/>
    <w:rsid w:val="00F70242"/>
    <w:rsid w:val="00F70A9D"/>
    <w:rsid w:val="00F70D1E"/>
    <w:rsid w:val="00F74210"/>
    <w:rsid w:val="00F743C0"/>
    <w:rsid w:val="00F77A48"/>
    <w:rsid w:val="00F8111B"/>
    <w:rsid w:val="00F82151"/>
    <w:rsid w:val="00F94B8B"/>
    <w:rsid w:val="00F9591D"/>
    <w:rsid w:val="00F95A5B"/>
    <w:rsid w:val="00FA318C"/>
    <w:rsid w:val="00FA3A26"/>
    <w:rsid w:val="00FA478A"/>
    <w:rsid w:val="00FA5915"/>
    <w:rsid w:val="00FA5CF7"/>
    <w:rsid w:val="00FA73A8"/>
    <w:rsid w:val="00FB0FB8"/>
    <w:rsid w:val="00FB1C60"/>
    <w:rsid w:val="00FB2485"/>
    <w:rsid w:val="00FC03A1"/>
    <w:rsid w:val="00FC2091"/>
    <w:rsid w:val="00FC22C7"/>
    <w:rsid w:val="00FC23FA"/>
    <w:rsid w:val="00FC2CA5"/>
    <w:rsid w:val="00FC3DA3"/>
    <w:rsid w:val="00FC4BFC"/>
    <w:rsid w:val="00FC574C"/>
    <w:rsid w:val="00FC5EC8"/>
    <w:rsid w:val="00FC6104"/>
    <w:rsid w:val="00FC750C"/>
    <w:rsid w:val="00FD0955"/>
    <w:rsid w:val="00FD096A"/>
    <w:rsid w:val="00FD1EEB"/>
    <w:rsid w:val="00FD2381"/>
    <w:rsid w:val="00FD314D"/>
    <w:rsid w:val="00FD394F"/>
    <w:rsid w:val="00FE2E7B"/>
    <w:rsid w:val="00FE6681"/>
    <w:rsid w:val="00FE6FCD"/>
    <w:rsid w:val="00FF0990"/>
    <w:rsid w:val="00FF1553"/>
    <w:rsid w:val="00FF2F70"/>
    <w:rsid w:val="00FF4AE9"/>
    <w:rsid w:val="00FF5092"/>
    <w:rsid w:val="00FF7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oNotEmbedSmartTags/>
  <w:decimalSymbol w:val="."/>
  <w:listSeparator w:val=","/>
  <w15:chartTrackingRefBased/>
  <w15:docId w15:val="{E2B78E5F-A140-4155-866C-5489AEB0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link w:val="Heading1Char"/>
    <w:qFormat/>
    <w:pPr>
      <w:keepNext/>
      <w:outlineLvl w:val="0"/>
    </w:pPr>
    <w:rPr>
      <w:rFonts w:ascii="Helvetica" w:hAnsi="Helvetica" w:cs="Helvetica"/>
      <w:b/>
      <w:bCs/>
      <w:sz w:val="84"/>
      <w:szCs w:val="84"/>
    </w:rPr>
  </w:style>
  <w:style w:type="paragraph" w:styleId="Heading2">
    <w:name w:val="heading 2"/>
    <w:basedOn w:val="Normal"/>
    <w:next w:val="Normal"/>
    <w:link w:val="Heading2Char"/>
    <w:qFormat/>
    <w:pPr>
      <w:keepNext/>
      <w:outlineLvl w:val="1"/>
    </w:pPr>
    <w:rPr>
      <w:rFonts w:ascii="Helvetica" w:hAnsi="Helvetica" w:cs="Helvetica"/>
      <w:sz w:val="36"/>
      <w:szCs w:val="36"/>
    </w:rPr>
  </w:style>
  <w:style w:type="paragraph" w:styleId="Heading3">
    <w:name w:val="heading 3"/>
    <w:basedOn w:val="Normal"/>
    <w:next w:val="Normal"/>
    <w:qFormat/>
    <w:pPr>
      <w:keepNext/>
      <w:jc w:val="center"/>
      <w:outlineLvl w:val="2"/>
    </w:pPr>
    <w:rPr>
      <w:b/>
      <w:bCs/>
      <w:sz w:val="24"/>
      <w:szCs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uiPriority w:val="99"/>
    <w:rPr>
      <w:rFonts w:ascii="Courier New" w:hAnsi="Courier New" w:cs="Courier New"/>
      <w:sz w:val="20"/>
      <w:szCs w:val="20"/>
    </w:rPr>
  </w:style>
  <w:style w:type="paragraph" w:styleId="BodyTextIndent2">
    <w:name w:val="Body Text Indent 2"/>
    <w:basedOn w:val="Normal"/>
    <w:pPr>
      <w:ind w:left="720"/>
      <w:jc w:val="both"/>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tyle1">
    <w:name w:val="Style1"/>
    <w:basedOn w:val="Normal"/>
    <w:pPr>
      <w:spacing w:line="280" w:lineRule="atLeast"/>
      <w:jc w:val="both"/>
    </w:pPr>
    <w:rPr>
      <w:rFonts w:ascii="Times New Roman" w:hAnsi="Times New Roman" w:cs="Times New Roman"/>
      <w:kern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paragraph" w:styleId="Title">
    <w:name w:val="Title"/>
    <w:basedOn w:val="Normal"/>
    <w:qFormat/>
    <w:pPr>
      <w:tabs>
        <w:tab w:val="center" w:pos="4693"/>
      </w:tabs>
      <w:suppressAutoHyphens/>
      <w:jc w:val="center"/>
    </w:pPr>
    <w:rPr>
      <w:rFonts w:ascii="Times New Roman" w:hAnsi="Times New Roman" w:cs="Times New Roman"/>
      <w:b/>
      <w:spacing w:val="-2"/>
      <w:sz w:val="36"/>
      <w:szCs w:val="20"/>
      <w:u w:val="single"/>
      <w:lang w:eastAsia="en-GB"/>
    </w:rPr>
  </w:style>
  <w:style w:type="paragraph" w:customStyle="1" w:styleId="CharChar">
    <w:name w:val=" Char Char"/>
    <w:basedOn w:val="Normal"/>
    <w:pPr>
      <w:spacing w:after="160" w:line="240" w:lineRule="exact"/>
    </w:pPr>
    <w:rPr>
      <w:rFonts w:ascii="Verdana" w:hAnsi="Verdana" w:cs="Times New Roman"/>
      <w:sz w:val="20"/>
      <w:szCs w:val="20"/>
      <w:lang w:val="en-US"/>
    </w:rPr>
  </w:style>
  <w:style w:type="paragraph" w:styleId="ListParagraph">
    <w:name w:val="List Paragraph"/>
    <w:basedOn w:val="Normal"/>
    <w:uiPriority w:val="34"/>
    <w:qFormat/>
    <w:pPr>
      <w:ind w:left="720"/>
    </w:pPr>
  </w:style>
  <w:style w:type="paragraph" w:styleId="NoSpacing">
    <w:name w:val="No Spacing"/>
    <w:qFormat/>
    <w:rPr>
      <w:rFonts w:ascii="Calibri" w:eastAsia="Calibri" w:hAnsi="Calibri"/>
      <w:sz w:val="22"/>
      <w:szCs w:val="22"/>
      <w:lang w:eastAsia="en-US"/>
    </w:rPr>
  </w:style>
  <w:style w:type="character" w:customStyle="1" w:styleId="PlainTextChar">
    <w:name w:val="Plain Text Char"/>
    <w:uiPriority w:val="99"/>
    <w:rPr>
      <w:rFonts w:ascii="Courier New" w:hAnsi="Courier New" w:cs="Courier New"/>
      <w:lang w:eastAsia="en-US"/>
    </w:rPr>
  </w:style>
  <w:style w:type="table" w:styleId="LightList">
    <w:name w:val="Light List"/>
    <w:basedOn w:val="TableNormal"/>
    <w:uiPriority w:val="61"/>
    <w:rsid w:val="003B6A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rsid w:val="00590244"/>
    <w:rPr>
      <w:sz w:val="16"/>
      <w:szCs w:val="16"/>
    </w:rPr>
  </w:style>
  <w:style w:type="paragraph" w:styleId="CommentText">
    <w:name w:val="annotation text"/>
    <w:basedOn w:val="Normal"/>
    <w:link w:val="CommentTextChar"/>
    <w:rsid w:val="00590244"/>
    <w:rPr>
      <w:sz w:val="20"/>
      <w:szCs w:val="20"/>
    </w:rPr>
  </w:style>
  <w:style w:type="character" w:customStyle="1" w:styleId="CommentTextChar">
    <w:name w:val="Comment Text Char"/>
    <w:link w:val="CommentText"/>
    <w:rsid w:val="00590244"/>
    <w:rPr>
      <w:rFonts w:ascii="Arial" w:hAnsi="Arial" w:cs="Arial"/>
      <w:lang w:eastAsia="en-US"/>
    </w:rPr>
  </w:style>
  <w:style w:type="paragraph" w:styleId="CommentSubject">
    <w:name w:val="annotation subject"/>
    <w:basedOn w:val="CommentText"/>
    <w:next w:val="CommentText"/>
    <w:link w:val="CommentSubjectChar"/>
    <w:rsid w:val="00590244"/>
    <w:rPr>
      <w:b/>
      <w:bCs/>
    </w:rPr>
  </w:style>
  <w:style w:type="character" w:customStyle="1" w:styleId="CommentSubjectChar">
    <w:name w:val="Comment Subject Char"/>
    <w:link w:val="CommentSubject"/>
    <w:rsid w:val="00590244"/>
    <w:rPr>
      <w:rFonts w:ascii="Arial" w:hAnsi="Arial" w:cs="Arial"/>
      <w:b/>
      <w:bCs/>
      <w:lang w:eastAsia="en-US"/>
    </w:rPr>
  </w:style>
  <w:style w:type="character" w:customStyle="1" w:styleId="Heading1Char">
    <w:name w:val="Heading 1 Char"/>
    <w:link w:val="Heading1"/>
    <w:rsid w:val="00657657"/>
    <w:rPr>
      <w:rFonts w:ascii="Helvetica" w:hAnsi="Helvetica" w:cs="Helvetica"/>
      <w:b/>
      <w:bCs/>
      <w:sz w:val="84"/>
      <w:szCs w:val="84"/>
      <w:lang w:eastAsia="en-US"/>
    </w:rPr>
  </w:style>
  <w:style w:type="character" w:customStyle="1" w:styleId="Heading2Char">
    <w:name w:val="Heading 2 Char"/>
    <w:link w:val="Heading2"/>
    <w:rsid w:val="00657657"/>
    <w:rPr>
      <w:rFonts w:ascii="Helvetica" w:hAnsi="Helvetica" w:cs="Helvetica"/>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676">
      <w:bodyDiv w:val="1"/>
      <w:marLeft w:val="0"/>
      <w:marRight w:val="0"/>
      <w:marTop w:val="0"/>
      <w:marBottom w:val="0"/>
      <w:divBdr>
        <w:top w:val="none" w:sz="0" w:space="0" w:color="auto"/>
        <w:left w:val="none" w:sz="0" w:space="0" w:color="auto"/>
        <w:bottom w:val="none" w:sz="0" w:space="0" w:color="auto"/>
        <w:right w:val="none" w:sz="0" w:space="0" w:color="auto"/>
      </w:divBdr>
    </w:div>
    <w:div w:id="19627632">
      <w:bodyDiv w:val="1"/>
      <w:marLeft w:val="0"/>
      <w:marRight w:val="0"/>
      <w:marTop w:val="0"/>
      <w:marBottom w:val="0"/>
      <w:divBdr>
        <w:top w:val="none" w:sz="0" w:space="0" w:color="auto"/>
        <w:left w:val="none" w:sz="0" w:space="0" w:color="auto"/>
        <w:bottom w:val="none" w:sz="0" w:space="0" w:color="auto"/>
        <w:right w:val="none" w:sz="0" w:space="0" w:color="auto"/>
      </w:divBdr>
    </w:div>
    <w:div w:id="21327028">
      <w:bodyDiv w:val="1"/>
      <w:marLeft w:val="0"/>
      <w:marRight w:val="0"/>
      <w:marTop w:val="0"/>
      <w:marBottom w:val="0"/>
      <w:divBdr>
        <w:top w:val="none" w:sz="0" w:space="0" w:color="auto"/>
        <w:left w:val="none" w:sz="0" w:space="0" w:color="auto"/>
        <w:bottom w:val="none" w:sz="0" w:space="0" w:color="auto"/>
        <w:right w:val="none" w:sz="0" w:space="0" w:color="auto"/>
      </w:divBdr>
    </w:div>
    <w:div w:id="25522257">
      <w:bodyDiv w:val="1"/>
      <w:marLeft w:val="0"/>
      <w:marRight w:val="0"/>
      <w:marTop w:val="0"/>
      <w:marBottom w:val="0"/>
      <w:divBdr>
        <w:top w:val="none" w:sz="0" w:space="0" w:color="auto"/>
        <w:left w:val="none" w:sz="0" w:space="0" w:color="auto"/>
        <w:bottom w:val="none" w:sz="0" w:space="0" w:color="auto"/>
        <w:right w:val="none" w:sz="0" w:space="0" w:color="auto"/>
      </w:divBdr>
    </w:div>
    <w:div w:id="29889082">
      <w:bodyDiv w:val="1"/>
      <w:marLeft w:val="0"/>
      <w:marRight w:val="0"/>
      <w:marTop w:val="0"/>
      <w:marBottom w:val="0"/>
      <w:divBdr>
        <w:top w:val="none" w:sz="0" w:space="0" w:color="auto"/>
        <w:left w:val="none" w:sz="0" w:space="0" w:color="auto"/>
        <w:bottom w:val="none" w:sz="0" w:space="0" w:color="auto"/>
        <w:right w:val="none" w:sz="0" w:space="0" w:color="auto"/>
      </w:divBdr>
    </w:div>
    <w:div w:id="36661766">
      <w:bodyDiv w:val="1"/>
      <w:marLeft w:val="0"/>
      <w:marRight w:val="0"/>
      <w:marTop w:val="0"/>
      <w:marBottom w:val="0"/>
      <w:divBdr>
        <w:top w:val="none" w:sz="0" w:space="0" w:color="auto"/>
        <w:left w:val="none" w:sz="0" w:space="0" w:color="auto"/>
        <w:bottom w:val="none" w:sz="0" w:space="0" w:color="auto"/>
        <w:right w:val="none" w:sz="0" w:space="0" w:color="auto"/>
      </w:divBdr>
    </w:div>
    <w:div w:id="42415141">
      <w:bodyDiv w:val="1"/>
      <w:marLeft w:val="0"/>
      <w:marRight w:val="0"/>
      <w:marTop w:val="0"/>
      <w:marBottom w:val="0"/>
      <w:divBdr>
        <w:top w:val="none" w:sz="0" w:space="0" w:color="auto"/>
        <w:left w:val="none" w:sz="0" w:space="0" w:color="auto"/>
        <w:bottom w:val="none" w:sz="0" w:space="0" w:color="auto"/>
        <w:right w:val="none" w:sz="0" w:space="0" w:color="auto"/>
      </w:divBdr>
    </w:div>
    <w:div w:id="61025018">
      <w:bodyDiv w:val="1"/>
      <w:marLeft w:val="0"/>
      <w:marRight w:val="0"/>
      <w:marTop w:val="0"/>
      <w:marBottom w:val="0"/>
      <w:divBdr>
        <w:top w:val="none" w:sz="0" w:space="0" w:color="auto"/>
        <w:left w:val="none" w:sz="0" w:space="0" w:color="auto"/>
        <w:bottom w:val="none" w:sz="0" w:space="0" w:color="auto"/>
        <w:right w:val="none" w:sz="0" w:space="0" w:color="auto"/>
      </w:divBdr>
    </w:div>
    <w:div w:id="64497660">
      <w:bodyDiv w:val="1"/>
      <w:marLeft w:val="0"/>
      <w:marRight w:val="0"/>
      <w:marTop w:val="0"/>
      <w:marBottom w:val="0"/>
      <w:divBdr>
        <w:top w:val="none" w:sz="0" w:space="0" w:color="auto"/>
        <w:left w:val="none" w:sz="0" w:space="0" w:color="auto"/>
        <w:bottom w:val="none" w:sz="0" w:space="0" w:color="auto"/>
        <w:right w:val="none" w:sz="0" w:space="0" w:color="auto"/>
      </w:divBdr>
    </w:div>
    <w:div w:id="67926443">
      <w:bodyDiv w:val="1"/>
      <w:marLeft w:val="0"/>
      <w:marRight w:val="0"/>
      <w:marTop w:val="0"/>
      <w:marBottom w:val="0"/>
      <w:divBdr>
        <w:top w:val="none" w:sz="0" w:space="0" w:color="auto"/>
        <w:left w:val="none" w:sz="0" w:space="0" w:color="auto"/>
        <w:bottom w:val="none" w:sz="0" w:space="0" w:color="auto"/>
        <w:right w:val="none" w:sz="0" w:space="0" w:color="auto"/>
      </w:divBdr>
    </w:div>
    <w:div w:id="79183651">
      <w:bodyDiv w:val="1"/>
      <w:marLeft w:val="0"/>
      <w:marRight w:val="0"/>
      <w:marTop w:val="0"/>
      <w:marBottom w:val="0"/>
      <w:divBdr>
        <w:top w:val="none" w:sz="0" w:space="0" w:color="auto"/>
        <w:left w:val="none" w:sz="0" w:space="0" w:color="auto"/>
        <w:bottom w:val="none" w:sz="0" w:space="0" w:color="auto"/>
        <w:right w:val="none" w:sz="0" w:space="0" w:color="auto"/>
      </w:divBdr>
    </w:div>
    <w:div w:id="95056112">
      <w:bodyDiv w:val="1"/>
      <w:marLeft w:val="0"/>
      <w:marRight w:val="0"/>
      <w:marTop w:val="0"/>
      <w:marBottom w:val="0"/>
      <w:divBdr>
        <w:top w:val="none" w:sz="0" w:space="0" w:color="auto"/>
        <w:left w:val="none" w:sz="0" w:space="0" w:color="auto"/>
        <w:bottom w:val="none" w:sz="0" w:space="0" w:color="auto"/>
        <w:right w:val="none" w:sz="0" w:space="0" w:color="auto"/>
      </w:divBdr>
    </w:div>
    <w:div w:id="118693155">
      <w:bodyDiv w:val="1"/>
      <w:marLeft w:val="0"/>
      <w:marRight w:val="0"/>
      <w:marTop w:val="0"/>
      <w:marBottom w:val="0"/>
      <w:divBdr>
        <w:top w:val="none" w:sz="0" w:space="0" w:color="auto"/>
        <w:left w:val="none" w:sz="0" w:space="0" w:color="auto"/>
        <w:bottom w:val="none" w:sz="0" w:space="0" w:color="auto"/>
        <w:right w:val="none" w:sz="0" w:space="0" w:color="auto"/>
      </w:divBdr>
    </w:div>
    <w:div w:id="176234691">
      <w:bodyDiv w:val="1"/>
      <w:marLeft w:val="0"/>
      <w:marRight w:val="0"/>
      <w:marTop w:val="0"/>
      <w:marBottom w:val="0"/>
      <w:divBdr>
        <w:top w:val="none" w:sz="0" w:space="0" w:color="auto"/>
        <w:left w:val="none" w:sz="0" w:space="0" w:color="auto"/>
        <w:bottom w:val="none" w:sz="0" w:space="0" w:color="auto"/>
        <w:right w:val="none" w:sz="0" w:space="0" w:color="auto"/>
      </w:divBdr>
    </w:div>
    <w:div w:id="203105463">
      <w:bodyDiv w:val="1"/>
      <w:marLeft w:val="0"/>
      <w:marRight w:val="0"/>
      <w:marTop w:val="0"/>
      <w:marBottom w:val="0"/>
      <w:divBdr>
        <w:top w:val="none" w:sz="0" w:space="0" w:color="auto"/>
        <w:left w:val="none" w:sz="0" w:space="0" w:color="auto"/>
        <w:bottom w:val="none" w:sz="0" w:space="0" w:color="auto"/>
        <w:right w:val="none" w:sz="0" w:space="0" w:color="auto"/>
      </w:divBdr>
    </w:div>
    <w:div w:id="206769822">
      <w:bodyDiv w:val="1"/>
      <w:marLeft w:val="0"/>
      <w:marRight w:val="0"/>
      <w:marTop w:val="0"/>
      <w:marBottom w:val="0"/>
      <w:divBdr>
        <w:top w:val="none" w:sz="0" w:space="0" w:color="auto"/>
        <w:left w:val="none" w:sz="0" w:space="0" w:color="auto"/>
        <w:bottom w:val="none" w:sz="0" w:space="0" w:color="auto"/>
        <w:right w:val="none" w:sz="0" w:space="0" w:color="auto"/>
      </w:divBdr>
    </w:div>
    <w:div w:id="238105374">
      <w:bodyDiv w:val="1"/>
      <w:marLeft w:val="0"/>
      <w:marRight w:val="0"/>
      <w:marTop w:val="0"/>
      <w:marBottom w:val="0"/>
      <w:divBdr>
        <w:top w:val="none" w:sz="0" w:space="0" w:color="auto"/>
        <w:left w:val="none" w:sz="0" w:space="0" w:color="auto"/>
        <w:bottom w:val="none" w:sz="0" w:space="0" w:color="auto"/>
        <w:right w:val="none" w:sz="0" w:space="0" w:color="auto"/>
      </w:divBdr>
    </w:div>
    <w:div w:id="248776774">
      <w:bodyDiv w:val="1"/>
      <w:marLeft w:val="0"/>
      <w:marRight w:val="0"/>
      <w:marTop w:val="0"/>
      <w:marBottom w:val="0"/>
      <w:divBdr>
        <w:top w:val="none" w:sz="0" w:space="0" w:color="auto"/>
        <w:left w:val="none" w:sz="0" w:space="0" w:color="auto"/>
        <w:bottom w:val="none" w:sz="0" w:space="0" w:color="auto"/>
        <w:right w:val="none" w:sz="0" w:space="0" w:color="auto"/>
      </w:divBdr>
    </w:div>
    <w:div w:id="249437605">
      <w:bodyDiv w:val="1"/>
      <w:marLeft w:val="0"/>
      <w:marRight w:val="0"/>
      <w:marTop w:val="0"/>
      <w:marBottom w:val="0"/>
      <w:divBdr>
        <w:top w:val="none" w:sz="0" w:space="0" w:color="auto"/>
        <w:left w:val="none" w:sz="0" w:space="0" w:color="auto"/>
        <w:bottom w:val="none" w:sz="0" w:space="0" w:color="auto"/>
        <w:right w:val="none" w:sz="0" w:space="0" w:color="auto"/>
      </w:divBdr>
    </w:div>
    <w:div w:id="258027223">
      <w:bodyDiv w:val="1"/>
      <w:marLeft w:val="0"/>
      <w:marRight w:val="0"/>
      <w:marTop w:val="0"/>
      <w:marBottom w:val="0"/>
      <w:divBdr>
        <w:top w:val="none" w:sz="0" w:space="0" w:color="auto"/>
        <w:left w:val="none" w:sz="0" w:space="0" w:color="auto"/>
        <w:bottom w:val="none" w:sz="0" w:space="0" w:color="auto"/>
        <w:right w:val="none" w:sz="0" w:space="0" w:color="auto"/>
      </w:divBdr>
    </w:div>
    <w:div w:id="265311310">
      <w:bodyDiv w:val="1"/>
      <w:marLeft w:val="0"/>
      <w:marRight w:val="0"/>
      <w:marTop w:val="0"/>
      <w:marBottom w:val="0"/>
      <w:divBdr>
        <w:top w:val="none" w:sz="0" w:space="0" w:color="auto"/>
        <w:left w:val="none" w:sz="0" w:space="0" w:color="auto"/>
        <w:bottom w:val="none" w:sz="0" w:space="0" w:color="auto"/>
        <w:right w:val="none" w:sz="0" w:space="0" w:color="auto"/>
      </w:divBdr>
    </w:div>
    <w:div w:id="274292050">
      <w:bodyDiv w:val="1"/>
      <w:marLeft w:val="0"/>
      <w:marRight w:val="0"/>
      <w:marTop w:val="0"/>
      <w:marBottom w:val="0"/>
      <w:divBdr>
        <w:top w:val="none" w:sz="0" w:space="0" w:color="auto"/>
        <w:left w:val="none" w:sz="0" w:space="0" w:color="auto"/>
        <w:bottom w:val="none" w:sz="0" w:space="0" w:color="auto"/>
        <w:right w:val="none" w:sz="0" w:space="0" w:color="auto"/>
      </w:divBdr>
    </w:div>
    <w:div w:id="309361704">
      <w:bodyDiv w:val="1"/>
      <w:marLeft w:val="0"/>
      <w:marRight w:val="0"/>
      <w:marTop w:val="0"/>
      <w:marBottom w:val="0"/>
      <w:divBdr>
        <w:top w:val="none" w:sz="0" w:space="0" w:color="auto"/>
        <w:left w:val="none" w:sz="0" w:space="0" w:color="auto"/>
        <w:bottom w:val="none" w:sz="0" w:space="0" w:color="auto"/>
        <w:right w:val="none" w:sz="0" w:space="0" w:color="auto"/>
      </w:divBdr>
    </w:div>
    <w:div w:id="313724692">
      <w:bodyDiv w:val="1"/>
      <w:marLeft w:val="0"/>
      <w:marRight w:val="0"/>
      <w:marTop w:val="0"/>
      <w:marBottom w:val="0"/>
      <w:divBdr>
        <w:top w:val="none" w:sz="0" w:space="0" w:color="auto"/>
        <w:left w:val="none" w:sz="0" w:space="0" w:color="auto"/>
        <w:bottom w:val="none" w:sz="0" w:space="0" w:color="auto"/>
        <w:right w:val="none" w:sz="0" w:space="0" w:color="auto"/>
      </w:divBdr>
    </w:div>
    <w:div w:id="314258433">
      <w:bodyDiv w:val="1"/>
      <w:marLeft w:val="0"/>
      <w:marRight w:val="0"/>
      <w:marTop w:val="0"/>
      <w:marBottom w:val="0"/>
      <w:divBdr>
        <w:top w:val="none" w:sz="0" w:space="0" w:color="auto"/>
        <w:left w:val="none" w:sz="0" w:space="0" w:color="auto"/>
        <w:bottom w:val="none" w:sz="0" w:space="0" w:color="auto"/>
        <w:right w:val="none" w:sz="0" w:space="0" w:color="auto"/>
      </w:divBdr>
    </w:div>
    <w:div w:id="319777949">
      <w:bodyDiv w:val="1"/>
      <w:marLeft w:val="0"/>
      <w:marRight w:val="0"/>
      <w:marTop w:val="0"/>
      <w:marBottom w:val="0"/>
      <w:divBdr>
        <w:top w:val="none" w:sz="0" w:space="0" w:color="auto"/>
        <w:left w:val="none" w:sz="0" w:space="0" w:color="auto"/>
        <w:bottom w:val="none" w:sz="0" w:space="0" w:color="auto"/>
        <w:right w:val="none" w:sz="0" w:space="0" w:color="auto"/>
      </w:divBdr>
    </w:div>
    <w:div w:id="324169372">
      <w:bodyDiv w:val="1"/>
      <w:marLeft w:val="0"/>
      <w:marRight w:val="0"/>
      <w:marTop w:val="0"/>
      <w:marBottom w:val="0"/>
      <w:divBdr>
        <w:top w:val="none" w:sz="0" w:space="0" w:color="auto"/>
        <w:left w:val="none" w:sz="0" w:space="0" w:color="auto"/>
        <w:bottom w:val="none" w:sz="0" w:space="0" w:color="auto"/>
        <w:right w:val="none" w:sz="0" w:space="0" w:color="auto"/>
      </w:divBdr>
    </w:div>
    <w:div w:id="333455992">
      <w:bodyDiv w:val="1"/>
      <w:marLeft w:val="0"/>
      <w:marRight w:val="0"/>
      <w:marTop w:val="0"/>
      <w:marBottom w:val="0"/>
      <w:divBdr>
        <w:top w:val="none" w:sz="0" w:space="0" w:color="auto"/>
        <w:left w:val="none" w:sz="0" w:space="0" w:color="auto"/>
        <w:bottom w:val="none" w:sz="0" w:space="0" w:color="auto"/>
        <w:right w:val="none" w:sz="0" w:space="0" w:color="auto"/>
      </w:divBdr>
    </w:div>
    <w:div w:id="394428305">
      <w:bodyDiv w:val="1"/>
      <w:marLeft w:val="0"/>
      <w:marRight w:val="0"/>
      <w:marTop w:val="0"/>
      <w:marBottom w:val="0"/>
      <w:divBdr>
        <w:top w:val="none" w:sz="0" w:space="0" w:color="auto"/>
        <w:left w:val="none" w:sz="0" w:space="0" w:color="auto"/>
        <w:bottom w:val="none" w:sz="0" w:space="0" w:color="auto"/>
        <w:right w:val="none" w:sz="0" w:space="0" w:color="auto"/>
      </w:divBdr>
    </w:div>
    <w:div w:id="398094188">
      <w:bodyDiv w:val="1"/>
      <w:marLeft w:val="0"/>
      <w:marRight w:val="0"/>
      <w:marTop w:val="0"/>
      <w:marBottom w:val="0"/>
      <w:divBdr>
        <w:top w:val="none" w:sz="0" w:space="0" w:color="auto"/>
        <w:left w:val="none" w:sz="0" w:space="0" w:color="auto"/>
        <w:bottom w:val="none" w:sz="0" w:space="0" w:color="auto"/>
        <w:right w:val="none" w:sz="0" w:space="0" w:color="auto"/>
      </w:divBdr>
    </w:div>
    <w:div w:id="404498578">
      <w:bodyDiv w:val="1"/>
      <w:marLeft w:val="0"/>
      <w:marRight w:val="0"/>
      <w:marTop w:val="0"/>
      <w:marBottom w:val="0"/>
      <w:divBdr>
        <w:top w:val="none" w:sz="0" w:space="0" w:color="auto"/>
        <w:left w:val="none" w:sz="0" w:space="0" w:color="auto"/>
        <w:bottom w:val="none" w:sz="0" w:space="0" w:color="auto"/>
        <w:right w:val="none" w:sz="0" w:space="0" w:color="auto"/>
      </w:divBdr>
    </w:div>
    <w:div w:id="421071686">
      <w:bodyDiv w:val="1"/>
      <w:marLeft w:val="0"/>
      <w:marRight w:val="0"/>
      <w:marTop w:val="0"/>
      <w:marBottom w:val="0"/>
      <w:divBdr>
        <w:top w:val="none" w:sz="0" w:space="0" w:color="auto"/>
        <w:left w:val="none" w:sz="0" w:space="0" w:color="auto"/>
        <w:bottom w:val="none" w:sz="0" w:space="0" w:color="auto"/>
        <w:right w:val="none" w:sz="0" w:space="0" w:color="auto"/>
      </w:divBdr>
    </w:div>
    <w:div w:id="422847834">
      <w:bodyDiv w:val="1"/>
      <w:marLeft w:val="0"/>
      <w:marRight w:val="0"/>
      <w:marTop w:val="0"/>
      <w:marBottom w:val="0"/>
      <w:divBdr>
        <w:top w:val="none" w:sz="0" w:space="0" w:color="auto"/>
        <w:left w:val="none" w:sz="0" w:space="0" w:color="auto"/>
        <w:bottom w:val="none" w:sz="0" w:space="0" w:color="auto"/>
        <w:right w:val="none" w:sz="0" w:space="0" w:color="auto"/>
      </w:divBdr>
    </w:div>
    <w:div w:id="425931085">
      <w:bodyDiv w:val="1"/>
      <w:marLeft w:val="0"/>
      <w:marRight w:val="0"/>
      <w:marTop w:val="0"/>
      <w:marBottom w:val="0"/>
      <w:divBdr>
        <w:top w:val="none" w:sz="0" w:space="0" w:color="auto"/>
        <w:left w:val="none" w:sz="0" w:space="0" w:color="auto"/>
        <w:bottom w:val="none" w:sz="0" w:space="0" w:color="auto"/>
        <w:right w:val="none" w:sz="0" w:space="0" w:color="auto"/>
      </w:divBdr>
    </w:div>
    <w:div w:id="428474406">
      <w:bodyDiv w:val="1"/>
      <w:marLeft w:val="0"/>
      <w:marRight w:val="0"/>
      <w:marTop w:val="0"/>
      <w:marBottom w:val="0"/>
      <w:divBdr>
        <w:top w:val="none" w:sz="0" w:space="0" w:color="auto"/>
        <w:left w:val="none" w:sz="0" w:space="0" w:color="auto"/>
        <w:bottom w:val="none" w:sz="0" w:space="0" w:color="auto"/>
        <w:right w:val="none" w:sz="0" w:space="0" w:color="auto"/>
      </w:divBdr>
    </w:div>
    <w:div w:id="440540714">
      <w:bodyDiv w:val="1"/>
      <w:marLeft w:val="0"/>
      <w:marRight w:val="0"/>
      <w:marTop w:val="0"/>
      <w:marBottom w:val="0"/>
      <w:divBdr>
        <w:top w:val="none" w:sz="0" w:space="0" w:color="auto"/>
        <w:left w:val="none" w:sz="0" w:space="0" w:color="auto"/>
        <w:bottom w:val="none" w:sz="0" w:space="0" w:color="auto"/>
        <w:right w:val="none" w:sz="0" w:space="0" w:color="auto"/>
      </w:divBdr>
    </w:div>
    <w:div w:id="451748071">
      <w:bodyDiv w:val="1"/>
      <w:marLeft w:val="0"/>
      <w:marRight w:val="0"/>
      <w:marTop w:val="0"/>
      <w:marBottom w:val="0"/>
      <w:divBdr>
        <w:top w:val="none" w:sz="0" w:space="0" w:color="auto"/>
        <w:left w:val="none" w:sz="0" w:space="0" w:color="auto"/>
        <w:bottom w:val="none" w:sz="0" w:space="0" w:color="auto"/>
        <w:right w:val="none" w:sz="0" w:space="0" w:color="auto"/>
      </w:divBdr>
    </w:div>
    <w:div w:id="457576617">
      <w:bodyDiv w:val="1"/>
      <w:marLeft w:val="0"/>
      <w:marRight w:val="0"/>
      <w:marTop w:val="0"/>
      <w:marBottom w:val="0"/>
      <w:divBdr>
        <w:top w:val="none" w:sz="0" w:space="0" w:color="auto"/>
        <w:left w:val="none" w:sz="0" w:space="0" w:color="auto"/>
        <w:bottom w:val="none" w:sz="0" w:space="0" w:color="auto"/>
        <w:right w:val="none" w:sz="0" w:space="0" w:color="auto"/>
      </w:divBdr>
    </w:div>
    <w:div w:id="473452421">
      <w:bodyDiv w:val="1"/>
      <w:marLeft w:val="0"/>
      <w:marRight w:val="0"/>
      <w:marTop w:val="0"/>
      <w:marBottom w:val="0"/>
      <w:divBdr>
        <w:top w:val="none" w:sz="0" w:space="0" w:color="auto"/>
        <w:left w:val="none" w:sz="0" w:space="0" w:color="auto"/>
        <w:bottom w:val="none" w:sz="0" w:space="0" w:color="auto"/>
        <w:right w:val="none" w:sz="0" w:space="0" w:color="auto"/>
      </w:divBdr>
    </w:div>
    <w:div w:id="478960562">
      <w:bodyDiv w:val="1"/>
      <w:marLeft w:val="0"/>
      <w:marRight w:val="0"/>
      <w:marTop w:val="0"/>
      <w:marBottom w:val="0"/>
      <w:divBdr>
        <w:top w:val="none" w:sz="0" w:space="0" w:color="auto"/>
        <w:left w:val="none" w:sz="0" w:space="0" w:color="auto"/>
        <w:bottom w:val="none" w:sz="0" w:space="0" w:color="auto"/>
        <w:right w:val="none" w:sz="0" w:space="0" w:color="auto"/>
      </w:divBdr>
    </w:div>
    <w:div w:id="550657490">
      <w:bodyDiv w:val="1"/>
      <w:marLeft w:val="0"/>
      <w:marRight w:val="0"/>
      <w:marTop w:val="0"/>
      <w:marBottom w:val="0"/>
      <w:divBdr>
        <w:top w:val="none" w:sz="0" w:space="0" w:color="auto"/>
        <w:left w:val="none" w:sz="0" w:space="0" w:color="auto"/>
        <w:bottom w:val="none" w:sz="0" w:space="0" w:color="auto"/>
        <w:right w:val="none" w:sz="0" w:space="0" w:color="auto"/>
      </w:divBdr>
    </w:div>
    <w:div w:id="563874451">
      <w:bodyDiv w:val="1"/>
      <w:marLeft w:val="0"/>
      <w:marRight w:val="0"/>
      <w:marTop w:val="0"/>
      <w:marBottom w:val="0"/>
      <w:divBdr>
        <w:top w:val="none" w:sz="0" w:space="0" w:color="auto"/>
        <w:left w:val="none" w:sz="0" w:space="0" w:color="auto"/>
        <w:bottom w:val="none" w:sz="0" w:space="0" w:color="auto"/>
        <w:right w:val="none" w:sz="0" w:space="0" w:color="auto"/>
      </w:divBdr>
    </w:div>
    <w:div w:id="591360771">
      <w:bodyDiv w:val="1"/>
      <w:marLeft w:val="0"/>
      <w:marRight w:val="0"/>
      <w:marTop w:val="0"/>
      <w:marBottom w:val="0"/>
      <w:divBdr>
        <w:top w:val="none" w:sz="0" w:space="0" w:color="auto"/>
        <w:left w:val="none" w:sz="0" w:space="0" w:color="auto"/>
        <w:bottom w:val="none" w:sz="0" w:space="0" w:color="auto"/>
        <w:right w:val="none" w:sz="0" w:space="0" w:color="auto"/>
      </w:divBdr>
    </w:div>
    <w:div w:id="612594592">
      <w:bodyDiv w:val="1"/>
      <w:marLeft w:val="0"/>
      <w:marRight w:val="0"/>
      <w:marTop w:val="0"/>
      <w:marBottom w:val="0"/>
      <w:divBdr>
        <w:top w:val="none" w:sz="0" w:space="0" w:color="auto"/>
        <w:left w:val="none" w:sz="0" w:space="0" w:color="auto"/>
        <w:bottom w:val="none" w:sz="0" w:space="0" w:color="auto"/>
        <w:right w:val="none" w:sz="0" w:space="0" w:color="auto"/>
      </w:divBdr>
    </w:div>
    <w:div w:id="635377781">
      <w:bodyDiv w:val="1"/>
      <w:marLeft w:val="0"/>
      <w:marRight w:val="0"/>
      <w:marTop w:val="0"/>
      <w:marBottom w:val="0"/>
      <w:divBdr>
        <w:top w:val="none" w:sz="0" w:space="0" w:color="auto"/>
        <w:left w:val="none" w:sz="0" w:space="0" w:color="auto"/>
        <w:bottom w:val="none" w:sz="0" w:space="0" w:color="auto"/>
        <w:right w:val="none" w:sz="0" w:space="0" w:color="auto"/>
      </w:divBdr>
    </w:div>
    <w:div w:id="709842694">
      <w:bodyDiv w:val="1"/>
      <w:marLeft w:val="0"/>
      <w:marRight w:val="0"/>
      <w:marTop w:val="0"/>
      <w:marBottom w:val="0"/>
      <w:divBdr>
        <w:top w:val="none" w:sz="0" w:space="0" w:color="auto"/>
        <w:left w:val="none" w:sz="0" w:space="0" w:color="auto"/>
        <w:bottom w:val="none" w:sz="0" w:space="0" w:color="auto"/>
        <w:right w:val="none" w:sz="0" w:space="0" w:color="auto"/>
      </w:divBdr>
    </w:div>
    <w:div w:id="725883054">
      <w:bodyDiv w:val="1"/>
      <w:marLeft w:val="0"/>
      <w:marRight w:val="0"/>
      <w:marTop w:val="0"/>
      <w:marBottom w:val="0"/>
      <w:divBdr>
        <w:top w:val="none" w:sz="0" w:space="0" w:color="auto"/>
        <w:left w:val="none" w:sz="0" w:space="0" w:color="auto"/>
        <w:bottom w:val="none" w:sz="0" w:space="0" w:color="auto"/>
        <w:right w:val="none" w:sz="0" w:space="0" w:color="auto"/>
      </w:divBdr>
    </w:div>
    <w:div w:id="769817544">
      <w:bodyDiv w:val="1"/>
      <w:marLeft w:val="0"/>
      <w:marRight w:val="0"/>
      <w:marTop w:val="0"/>
      <w:marBottom w:val="0"/>
      <w:divBdr>
        <w:top w:val="none" w:sz="0" w:space="0" w:color="auto"/>
        <w:left w:val="none" w:sz="0" w:space="0" w:color="auto"/>
        <w:bottom w:val="none" w:sz="0" w:space="0" w:color="auto"/>
        <w:right w:val="none" w:sz="0" w:space="0" w:color="auto"/>
      </w:divBdr>
    </w:div>
    <w:div w:id="798378376">
      <w:bodyDiv w:val="1"/>
      <w:marLeft w:val="0"/>
      <w:marRight w:val="0"/>
      <w:marTop w:val="0"/>
      <w:marBottom w:val="0"/>
      <w:divBdr>
        <w:top w:val="none" w:sz="0" w:space="0" w:color="auto"/>
        <w:left w:val="none" w:sz="0" w:space="0" w:color="auto"/>
        <w:bottom w:val="none" w:sz="0" w:space="0" w:color="auto"/>
        <w:right w:val="none" w:sz="0" w:space="0" w:color="auto"/>
      </w:divBdr>
    </w:div>
    <w:div w:id="799617860">
      <w:bodyDiv w:val="1"/>
      <w:marLeft w:val="0"/>
      <w:marRight w:val="0"/>
      <w:marTop w:val="0"/>
      <w:marBottom w:val="0"/>
      <w:divBdr>
        <w:top w:val="none" w:sz="0" w:space="0" w:color="auto"/>
        <w:left w:val="none" w:sz="0" w:space="0" w:color="auto"/>
        <w:bottom w:val="none" w:sz="0" w:space="0" w:color="auto"/>
        <w:right w:val="none" w:sz="0" w:space="0" w:color="auto"/>
      </w:divBdr>
    </w:div>
    <w:div w:id="819152464">
      <w:bodyDiv w:val="1"/>
      <w:marLeft w:val="0"/>
      <w:marRight w:val="0"/>
      <w:marTop w:val="0"/>
      <w:marBottom w:val="0"/>
      <w:divBdr>
        <w:top w:val="none" w:sz="0" w:space="0" w:color="auto"/>
        <w:left w:val="none" w:sz="0" w:space="0" w:color="auto"/>
        <w:bottom w:val="none" w:sz="0" w:space="0" w:color="auto"/>
        <w:right w:val="none" w:sz="0" w:space="0" w:color="auto"/>
      </w:divBdr>
    </w:div>
    <w:div w:id="832797092">
      <w:bodyDiv w:val="1"/>
      <w:marLeft w:val="0"/>
      <w:marRight w:val="0"/>
      <w:marTop w:val="0"/>
      <w:marBottom w:val="0"/>
      <w:divBdr>
        <w:top w:val="none" w:sz="0" w:space="0" w:color="auto"/>
        <w:left w:val="none" w:sz="0" w:space="0" w:color="auto"/>
        <w:bottom w:val="none" w:sz="0" w:space="0" w:color="auto"/>
        <w:right w:val="none" w:sz="0" w:space="0" w:color="auto"/>
      </w:divBdr>
    </w:div>
    <w:div w:id="840585773">
      <w:bodyDiv w:val="1"/>
      <w:marLeft w:val="0"/>
      <w:marRight w:val="0"/>
      <w:marTop w:val="0"/>
      <w:marBottom w:val="0"/>
      <w:divBdr>
        <w:top w:val="none" w:sz="0" w:space="0" w:color="auto"/>
        <w:left w:val="none" w:sz="0" w:space="0" w:color="auto"/>
        <w:bottom w:val="none" w:sz="0" w:space="0" w:color="auto"/>
        <w:right w:val="none" w:sz="0" w:space="0" w:color="auto"/>
      </w:divBdr>
    </w:div>
    <w:div w:id="844052913">
      <w:bodyDiv w:val="1"/>
      <w:marLeft w:val="0"/>
      <w:marRight w:val="0"/>
      <w:marTop w:val="0"/>
      <w:marBottom w:val="0"/>
      <w:divBdr>
        <w:top w:val="none" w:sz="0" w:space="0" w:color="auto"/>
        <w:left w:val="none" w:sz="0" w:space="0" w:color="auto"/>
        <w:bottom w:val="none" w:sz="0" w:space="0" w:color="auto"/>
        <w:right w:val="none" w:sz="0" w:space="0" w:color="auto"/>
      </w:divBdr>
    </w:div>
    <w:div w:id="854609876">
      <w:bodyDiv w:val="1"/>
      <w:marLeft w:val="0"/>
      <w:marRight w:val="0"/>
      <w:marTop w:val="0"/>
      <w:marBottom w:val="0"/>
      <w:divBdr>
        <w:top w:val="none" w:sz="0" w:space="0" w:color="auto"/>
        <w:left w:val="none" w:sz="0" w:space="0" w:color="auto"/>
        <w:bottom w:val="none" w:sz="0" w:space="0" w:color="auto"/>
        <w:right w:val="none" w:sz="0" w:space="0" w:color="auto"/>
      </w:divBdr>
    </w:div>
    <w:div w:id="891885427">
      <w:bodyDiv w:val="1"/>
      <w:marLeft w:val="0"/>
      <w:marRight w:val="0"/>
      <w:marTop w:val="0"/>
      <w:marBottom w:val="0"/>
      <w:divBdr>
        <w:top w:val="none" w:sz="0" w:space="0" w:color="auto"/>
        <w:left w:val="none" w:sz="0" w:space="0" w:color="auto"/>
        <w:bottom w:val="none" w:sz="0" w:space="0" w:color="auto"/>
        <w:right w:val="none" w:sz="0" w:space="0" w:color="auto"/>
      </w:divBdr>
    </w:div>
    <w:div w:id="919413748">
      <w:bodyDiv w:val="1"/>
      <w:marLeft w:val="0"/>
      <w:marRight w:val="0"/>
      <w:marTop w:val="0"/>
      <w:marBottom w:val="0"/>
      <w:divBdr>
        <w:top w:val="none" w:sz="0" w:space="0" w:color="auto"/>
        <w:left w:val="none" w:sz="0" w:space="0" w:color="auto"/>
        <w:bottom w:val="none" w:sz="0" w:space="0" w:color="auto"/>
        <w:right w:val="none" w:sz="0" w:space="0" w:color="auto"/>
      </w:divBdr>
    </w:div>
    <w:div w:id="922378519">
      <w:bodyDiv w:val="1"/>
      <w:marLeft w:val="0"/>
      <w:marRight w:val="0"/>
      <w:marTop w:val="0"/>
      <w:marBottom w:val="0"/>
      <w:divBdr>
        <w:top w:val="none" w:sz="0" w:space="0" w:color="auto"/>
        <w:left w:val="none" w:sz="0" w:space="0" w:color="auto"/>
        <w:bottom w:val="none" w:sz="0" w:space="0" w:color="auto"/>
        <w:right w:val="none" w:sz="0" w:space="0" w:color="auto"/>
      </w:divBdr>
    </w:div>
    <w:div w:id="929047583">
      <w:bodyDiv w:val="1"/>
      <w:marLeft w:val="0"/>
      <w:marRight w:val="0"/>
      <w:marTop w:val="0"/>
      <w:marBottom w:val="0"/>
      <w:divBdr>
        <w:top w:val="none" w:sz="0" w:space="0" w:color="auto"/>
        <w:left w:val="none" w:sz="0" w:space="0" w:color="auto"/>
        <w:bottom w:val="none" w:sz="0" w:space="0" w:color="auto"/>
        <w:right w:val="none" w:sz="0" w:space="0" w:color="auto"/>
      </w:divBdr>
    </w:div>
    <w:div w:id="946035992">
      <w:bodyDiv w:val="1"/>
      <w:marLeft w:val="0"/>
      <w:marRight w:val="0"/>
      <w:marTop w:val="0"/>
      <w:marBottom w:val="0"/>
      <w:divBdr>
        <w:top w:val="none" w:sz="0" w:space="0" w:color="auto"/>
        <w:left w:val="none" w:sz="0" w:space="0" w:color="auto"/>
        <w:bottom w:val="none" w:sz="0" w:space="0" w:color="auto"/>
        <w:right w:val="none" w:sz="0" w:space="0" w:color="auto"/>
      </w:divBdr>
    </w:div>
    <w:div w:id="978993891">
      <w:bodyDiv w:val="1"/>
      <w:marLeft w:val="0"/>
      <w:marRight w:val="0"/>
      <w:marTop w:val="0"/>
      <w:marBottom w:val="0"/>
      <w:divBdr>
        <w:top w:val="none" w:sz="0" w:space="0" w:color="auto"/>
        <w:left w:val="none" w:sz="0" w:space="0" w:color="auto"/>
        <w:bottom w:val="none" w:sz="0" w:space="0" w:color="auto"/>
        <w:right w:val="none" w:sz="0" w:space="0" w:color="auto"/>
      </w:divBdr>
    </w:div>
    <w:div w:id="987831165">
      <w:bodyDiv w:val="1"/>
      <w:marLeft w:val="0"/>
      <w:marRight w:val="0"/>
      <w:marTop w:val="0"/>
      <w:marBottom w:val="0"/>
      <w:divBdr>
        <w:top w:val="none" w:sz="0" w:space="0" w:color="auto"/>
        <w:left w:val="none" w:sz="0" w:space="0" w:color="auto"/>
        <w:bottom w:val="none" w:sz="0" w:space="0" w:color="auto"/>
        <w:right w:val="none" w:sz="0" w:space="0" w:color="auto"/>
      </w:divBdr>
    </w:div>
    <w:div w:id="1000430262">
      <w:bodyDiv w:val="1"/>
      <w:marLeft w:val="0"/>
      <w:marRight w:val="0"/>
      <w:marTop w:val="0"/>
      <w:marBottom w:val="0"/>
      <w:divBdr>
        <w:top w:val="none" w:sz="0" w:space="0" w:color="auto"/>
        <w:left w:val="none" w:sz="0" w:space="0" w:color="auto"/>
        <w:bottom w:val="none" w:sz="0" w:space="0" w:color="auto"/>
        <w:right w:val="none" w:sz="0" w:space="0" w:color="auto"/>
      </w:divBdr>
    </w:div>
    <w:div w:id="1015226606">
      <w:bodyDiv w:val="1"/>
      <w:marLeft w:val="0"/>
      <w:marRight w:val="0"/>
      <w:marTop w:val="0"/>
      <w:marBottom w:val="0"/>
      <w:divBdr>
        <w:top w:val="none" w:sz="0" w:space="0" w:color="auto"/>
        <w:left w:val="none" w:sz="0" w:space="0" w:color="auto"/>
        <w:bottom w:val="none" w:sz="0" w:space="0" w:color="auto"/>
        <w:right w:val="none" w:sz="0" w:space="0" w:color="auto"/>
      </w:divBdr>
    </w:div>
    <w:div w:id="1023484500">
      <w:bodyDiv w:val="1"/>
      <w:marLeft w:val="0"/>
      <w:marRight w:val="0"/>
      <w:marTop w:val="0"/>
      <w:marBottom w:val="0"/>
      <w:divBdr>
        <w:top w:val="none" w:sz="0" w:space="0" w:color="auto"/>
        <w:left w:val="none" w:sz="0" w:space="0" w:color="auto"/>
        <w:bottom w:val="none" w:sz="0" w:space="0" w:color="auto"/>
        <w:right w:val="none" w:sz="0" w:space="0" w:color="auto"/>
      </w:divBdr>
    </w:div>
    <w:div w:id="1026103399">
      <w:bodyDiv w:val="1"/>
      <w:marLeft w:val="0"/>
      <w:marRight w:val="0"/>
      <w:marTop w:val="0"/>
      <w:marBottom w:val="0"/>
      <w:divBdr>
        <w:top w:val="none" w:sz="0" w:space="0" w:color="auto"/>
        <w:left w:val="none" w:sz="0" w:space="0" w:color="auto"/>
        <w:bottom w:val="none" w:sz="0" w:space="0" w:color="auto"/>
        <w:right w:val="none" w:sz="0" w:space="0" w:color="auto"/>
      </w:divBdr>
    </w:div>
    <w:div w:id="1063412489">
      <w:bodyDiv w:val="1"/>
      <w:marLeft w:val="0"/>
      <w:marRight w:val="0"/>
      <w:marTop w:val="0"/>
      <w:marBottom w:val="0"/>
      <w:divBdr>
        <w:top w:val="none" w:sz="0" w:space="0" w:color="auto"/>
        <w:left w:val="none" w:sz="0" w:space="0" w:color="auto"/>
        <w:bottom w:val="none" w:sz="0" w:space="0" w:color="auto"/>
        <w:right w:val="none" w:sz="0" w:space="0" w:color="auto"/>
      </w:divBdr>
    </w:div>
    <w:div w:id="1080296418">
      <w:bodyDiv w:val="1"/>
      <w:marLeft w:val="0"/>
      <w:marRight w:val="0"/>
      <w:marTop w:val="0"/>
      <w:marBottom w:val="0"/>
      <w:divBdr>
        <w:top w:val="none" w:sz="0" w:space="0" w:color="auto"/>
        <w:left w:val="none" w:sz="0" w:space="0" w:color="auto"/>
        <w:bottom w:val="none" w:sz="0" w:space="0" w:color="auto"/>
        <w:right w:val="none" w:sz="0" w:space="0" w:color="auto"/>
      </w:divBdr>
    </w:div>
    <w:div w:id="1100222115">
      <w:bodyDiv w:val="1"/>
      <w:marLeft w:val="0"/>
      <w:marRight w:val="0"/>
      <w:marTop w:val="0"/>
      <w:marBottom w:val="0"/>
      <w:divBdr>
        <w:top w:val="none" w:sz="0" w:space="0" w:color="auto"/>
        <w:left w:val="none" w:sz="0" w:space="0" w:color="auto"/>
        <w:bottom w:val="none" w:sz="0" w:space="0" w:color="auto"/>
        <w:right w:val="none" w:sz="0" w:space="0" w:color="auto"/>
      </w:divBdr>
    </w:div>
    <w:div w:id="1124272826">
      <w:bodyDiv w:val="1"/>
      <w:marLeft w:val="0"/>
      <w:marRight w:val="0"/>
      <w:marTop w:val="0"/>
      <w:marBottom w:val="0"/>
      <w:divBdr>
        <w:top w:val="none" w:sz="0" w:space="0" w:color="auto"/>
        <w:left w:val="none" w:sz="0" w:space="0" w:color="auto"/>
        <w:bottom w:val="none" w:sz="0" w:space="0" w:color="auto"/>
        <w:right w:val="none" w:sz="0" w:space="0" w:color="auto"/>
      </w:divBdr>
    </w:div>
    <w:div w:id="1126460769">
      <w:bodyDiv w:val="1"/>
      <w:marLeft w:val="0"/>
      <w:marRight w:val="0"/>
      <w:marTop w:val="0"/>
      <w:marBottom w:val="0"/>
      <w:divBdr>
        <w:top w:val="none" w:sz="0" w:space="0" w:color="auto"/>
        <w:left w:val="none" w:sz="0" w:space="0" w:color="auto"/>
        <w:bottom w:val="none" w:sz="0" w:space="0" w:color="auto"/>
        <w:right w:val="none" w:sz="0" w:space="0" w:color="auto"/>
      </w:divBdr>
    </w:div>
    <w:div w:id="1126700267">
      <w:bodyDiv w:val="1"/>
      <w:marLeft w:val="0"/>
      <w:marRight w:val="0"/>
      <w:marTop w:val="0"/>
      <w:marBottom w:val="0"/>
      <w:divBdr>
        <w:top w:val="none" w:sz="0" w:space="0" w:color="auto"/>
        <w:left w:val="none" w:sz="0" w:space="0" w:color="auto"/>
        <w:bottom w:val="none" w:sz="0" w:space="0" w:color="auto"/>
        <w:right w:val="none" w:sz="0" w:space="0" w:color="auto"/>
      </w:divBdr>
    </w:div>
    <w:div w:id="1139348392">
      <w:bodyDiv w:val="1"/>
      <w:marLeft w:val="0"/>
      <w:marRight w:val="0"/>
      <w:marTop w:val="0"/>
      <w:marBottom w:val="0"/>
      <w:divBdr>
        <w:top w:val="none" w:sz="0" w:space="0" w:color="auto"/>
        <w:left w:val="none" w:sz="0" w:space="0" w:color="auto"/>
        <w:bottom w:val="none" w:sz="0" w:space="0" w:color="auto"/>
        <w:right w:val="none" w:sz="0" w:space="0" w:color="auto"/>
      </w:divBdr>
    </w:div>
    <w:div w:id="1147892670">
      <w:bodyDiv w:val="1"/>
      <w:marLeft w:val="0"/>
      <w:marRight w:val="0"/>
      <w:marTop w:val="0"/>
      <w:marBottom w:val="0"/>
      <w:divBdr>
        <w:top w:val="none" w:sz="0" w:space="0" w:color="auto"/>
        <w:left w:val="none" w:sz="0" w:space="0" w:color="auto"/>
        <w:bottom w:val="none" w:sz="0" w:space="0" w:color="auto"/>
        <w:right w:val="none" w:sz="0" w:space="0" w:color="auto"/>
      </w:divBdr>
    </w:div>
    <w:div w:id="1153451103">
      <w:bodyDiv w:val="1"/>
      <w:marLeft w:val="0"/>
      <w:marRight w:val="0"/>
      <w:marTop w:val="0"/>
      <w:marBottom w:val="0"/>
      <w:divBdr>
        <w:top w:val="none" w:sz="0" w:space="0" w:color="auto"/>
        <w:left w:val="none" w:sz="0" w:space="0" w:color="auto"/>
        <w:bottom w:val="none" w:sz="0" w:space="0" w:color="auto"/>
        <w:right w:val="none" w:sz="0" w:space="0" w:color="auto"/>
      </w:divBdr>
    </w:div>
    <w:div w:id="1171680443">
      <w:bodyDiv w:val="1"/>
      <w:marLeft w:val="0"/>
      <w:marRight w:val="0"/>
      <w:marTop w:val="0"/>
      <w:marBottom w:val="0"/>
      <w:divBdr>
        <w:top w:val="none" w:sz="0" w:space="0" w:color="auto"/>
        <w:left w:val="none" w:sz="0" w:space="0" w:color="auto"/>
        <w:bottom w:val="none" w:sz="0" w:space="0" w:color="auto"/>
        <w:right w:val="none" w:sz="0" w:space="0" w:color="auto"/>
      </w:divBdr>
    </w:div>
    <w:div w:id="1197815660">
      <w:bodyDiv w:val="1"/>
      <w:marLeft w:val="0"/>
      <w:marRight w:val="0"/>
      <w:marTop w:val="0"/>
      <w:marBottom w:val="0"/>
      <w:divBdr>
        <w:top w:val="none" w:sz="0" w:space="0" w:color="auto"/>
        <w:left w:val="none" w:sz="0" w:space="0" w:color="auto"/>
        <w:bottom w:val="none" w:sz="0" w:space="0" w:color="auto"/>
        <w:right w:val="none" w:sz="0" w:space="0" w:color="auto"/>
      </w:divBdr>
    </w:div>
    <w:div w:id="1208762161">
      <w:bodyDiv w:val="1"/>
      <w:marLeft w:val="0"/>
      <w:marRight w:val="0"/>
      <w:marTop w:val="0"/>
      <w:marBottom w:val="0"/>
      <w:divBdr>
        <w:top w:val="none" w:sz="0" w:space="0" w:color="auto"/>
        <w:left w:val="none" w:sz="0" w:space="0" w:color="auto"/>
        <w:bottom w:val="none" w:sz="0" w:space="0" w:color="auto"/>
        <w:right w:val="none" w:sz="0" w:space="0" w:color="auto"/>
      </w:divBdr>
    </w:div>
    <w:div w:id="1229419530">
      <w:bodyDiv w:val="1"/>
      <w:marLeft w:val="0"/>
      <w:marRight w:val="0"/>
      <w:marTop w:val="0"/>
      <w:marBottom w:val="0"/>
      <w:divBdr>
        <w:top w:val="none" w:sz="0" w:space="0" w:color="auto"/>
        <w:left w:val="none" w:sz="0" w:space="0" w:color="auto"/>
        <w:bottom w:val="none" w:sz="0" w:space="0" w:color="auto"/>
        <w:right w:val="none" w:sz="0" w:space="0" w:color="auto"/>
      </w:divBdr>
    </w:div>
    <w:div w:id="1230186642">
      <w:bodyDiv w:val="1"/>
      <w:marLeft w:val="0"/>
      <w:marRight w:val="0"/>
      <w:marTop w:val="0"/>
      <w:marBottom w:val="0"/>
      <w:divBdr>
        <w:top w:val="none" w:sz="0" w:space="0" w:color="auto"/>
        <w:left w:val="none" w:sz="0" w:space="0" w:color="auto"/>
        <w:bottom w:val="none" w:sz="0" w:space="0" w:color="auto"/>
        <w:right w:val="none" w:sz="0" w:space="0" w:color="auto"/>
      </w:divBdr>
    </w:div>
    <w:div w:id="1238200641">
      <w:bodyDiv w:val="1"/>
      <w:marLeft w:val="0"/>
      <w:marRight w:val="0"/>
      <w:marTop w:val="0"/>
      <w:marBottom w:val="0"/>
      <w:divBdr>
        <w:top w:val="none" w:sz="0" w:space="0" w:color="auto"/>
        <w:left w:val="none" w:sz="0" w:space="0" w:color="auto"/>
        <w:bottom w:val="none" w:sz="0" w:space="0" w:color="auto"/>
        <w:right w:val="none" w:sz="0" w:space="0" w:color="auto"/>
      </w:divBdr>
    </w:div>
    <w:div w:id="1240599623">
      <w:bodyDiv w:val="1"/>
      <w:marLeft w:val="0"/>
      <w:marRight w:val="0"/>
      <w:marTop w:val="0"/>
      <w:marBottom w:val="0"/>
      <w:divBdr>
        <w:top w:val="none" w:sz="0" w:space="0" w:color="auto"/>
        <w:left w:val="none" w:sz="0" w:space="0" w:color="auto"/>
        <w:bottom w:val="none" w:sz="0" w:space="0" w:color="auto"/>
        <w:right w:val="none" w:sz="0" w:space="0" w:color="auto"/>
      </w:divBdr>
    </w:div>
    <w:div w:id="1242258252">
      <w:bodyDiv w:val="1"/>
      <w:marLeft w:val="0"/>
      <w:marRight w:val="0"/>
      <w:marTop w:val="0"/>
      <w:marBottom w:val="0"/>
      <w:divBdr>
        <w:top w:val="none" w:sz="0" w:space="0" w:color="auto"/>
        <w:left w:val="none" w:sz="0" w:space="0" w:color="auto"/>
        <w:bottom w:val="none" w:sz="0" w:space="0" w:color="auto"/>
        <w:right w:val="none" w:sz="0" w:space="0" w:color="auto"/>
      </w:divBdr>
    </w:div>
    <w:div w:id="1299602459">
      <w:bodyDiv w:val="1"/>
      <w:marLeft w:val="0"/>
      <w:marRight w:val="0"/>
      <w:marTop w:val="0"/>
      <w:marBottom w:val="0"/>
      <w:divBdr>
        <w:top w:val="none" w:sz="0" w:space="0" w:color="auto"/>
        <w:left w:val="none" w:sz="0" w:space="0" w:color="auto"/>
        <w:bottom w:val="none" w:sz="0" w:space="0" w:color="auto"/>
        <w:right w:val="none" w:sz="0" w:space="0" w:color="auto"/>
      </w:divBdr>
    </w:div>
    <w:div w:id="1307390456">
      <w:bodyDiv w:val="1"/>
      <w:marLeft w:val="0"/>
      <w:marRight w:val="0"/>
      <w:marTop w:val="0"/>
      <w:marBottom w:val="0"/>
      <w:divBdr>
        <w:top w:val="none" w:sz="0" w:space="0" w:color="auto"/>
        <w:left w:val="none" w:sz="0" w:space="0" w:color="auto"/>
        <w:bottom w:val="none" w:sz="0" w:space="0" w:color="auto"/>
        <w:right w:val="none" w:sz="0" w:space="0" w:color="auto"/>
      </w:divBdr>
    </w:div>
    <w:div w:id="1332290088">
      <w:bodyDiv w:val="1"/>
      <w:marLeft w:val="0"/>
      <w:marRight w:val="0"/>
      <w:marTop w:val="0"/>
      <w:marBottom w:val="0"/>
      <w:divBdr>
        <w:top w:val="none" w:sz="0" w:space="0" w:color="auto"/>
        <w:left w:val="none" w:sz="0" w:space="0" w:color="auto"/>
        <w:bottom w:val="none" w:sz="0" w:space="0" w:color="auto"/>
        <w:right w:val="none" w:sz="0" w:space="0" w:color="auto"/>
      </w:divBdr>
    </w:div>
    <w:div w:id="1356073818">
      <w:bodyDiv w:val="1"/>
      <w:marLeft w:val="0"/>
      <w:marRight w:val="0"/>
      <w:marTop w:val="0"/>
      <w:marBottom w:val="0"/>
      <w:divBdr>
        <w:top w:val="none" w:sz="0" w:space="0" w:color="auto"/>
        <w:left w:val="none" w:sz="0" w:space="0" w:color="auto"/>
        <w:bottom w:val="none" w:sz="0" w:space="0" w:color="auto"/>
        <w:right w:val="none" w:sz="0" w:space="0" w:color="auto"/>
      </w:divBdr>
    </w:div>
    <w:div w:id="1363362728">
      <w:bodyDiv w:val="1"/>
      <w:marLeft w:val="0"/>
      <w:marRight w:val="0"/>
      <w:marTop w:val="0"/>
      <w:marBottom w:val="0"/>
      <w:divBdr>
        <w:top w:val="none" w:sz="0" w:space="0" w:color="auto"/>
        <w:left w:val="none" w:sz="0" w:space="0" w:color="auto"/>
        <w:bottom w:val="none" w:sz="0" w:space="0" w:color="auto"/>
        <w:right w:val="none" w:sz="0" w:space="0" w:color="auto"/>
      </w:divBdr>
    </w:div>
    <w:div w:id="1382436697">
      <w:bodyDiv w:val="1"/>
      <w:marLeft w:val="0"/>
      <w:marRight w:val="0"/>
      <w:marTop w:val="0"/>
      <w:marBottom w:val="0"/>
      <w:divBdr>
        <w:top w:val="none" w:sz="0" w:space="0" w:color="auto"/>
        <w:left w:val="none" w:sz="0" w:space="0" w:color="auto"/>
        <w:bottom w:val="none" w:sz="0" w:space="0" w:color="auto"/>
        <w:right w:val="none" w:sz="0" w:space="0" w:color="auto"/>
      </w:divBdr>
    </w:div>
    <w:div w:id="1390182026">
      <w:bodyDiv w:val="1"/>
      <w:marLeft w:val="0"/>
      <w:marRight w:val="0"/>
      <w:marTop w:val="0"/>
      <w:marBottom w:val="0"/>
      <w:divBdr>
        <w:top w:val="none" w:sz="0" w:space="0" w:color="auto"/>
        <w:left w:val="none" w:sz="0" w:space="0" w:color="auto"/>
        <w:bottom w:val="none" w:sz="0" w:space="0" w:color="auto"/>
        <w:right w:val="none" w:sz="0" w:space="0" w:color="auto"/>
      </w:divBdr>
    </w:div>
    <w:div w:id="1391490380">
      <w:bodyDiv w:val="1"/>
      <w:marLeft w:val="0"/>
      <w:marRight w:val="0"/>
      <w:marTop w:val="0"/>
      <w:marBottom w:val="0"/>
      <w:divBdr>
        <w:top w:val="none" w:sz="0" w:space="0" w:color="auto"/>
        <w:left w:val="none" w:sz="0" w:space="0" w:color="auto"/>
        <w:bottom w:val="none" w:sz="0" w:space="0" w:color="auto"/>
        <w:right w:val="none" w:sz="0" w:space="0" w:color="auto"/>
      </w:divBdr>
    </w:div>
    <w:div w:id="1393311483">
      <w:bodyDiv w:val="1"/>
      <w:marLeft w:val="0"/>
      <w:marRight w:val="0"/>
      <w:marTop w:val="0"/>
      <w:marBottom w:val="0"/>
      <w:divBdr>
        <w:top w:val="none" w:sz="0" w:space="0" w:color="auto"/>
        <w:left w:val="none" w:sz="0" w:space="0" w:color="auto"/>
        <w:bottom w:val="none" w:sz="0" w:space="0" w:color="auto"/>
        <w:right w:val="none" w:sz="0" w:space="0" w:color="auto"/>
      </w:divBdr>
    </w:div>
    <w:div w:id="1401710351">
      <w:bodyDiv w:val="1"/>
      <w:marLeft w:val="0"/>
      <w:marRight w:val="0"/>
      <w:marTop w:val="0"/>
      <w:marBottom w:val="0"/>
      <w:divBdr>
        <w:top w:val="none" w:sz="0" w:space="0" w:color="auto"/>
        <w:left w:val="none" w:sz="0" w:space="0" w:color="auto"/>
        <w:bottom w:val="none" w:sz="0" w:space="0" w:color="auto"/>
        <w:right w:val="none" w:sz="0" w:space="0" w:color="auto"/>
      </w:divBdr>
    </w:div>
    <w:div w:id="1428967360">
      <w:bodyDiv w:val="1"/>
      <w:marLeft w:val="0"/>
      <w:marRight w:val="0"/>
      <w:marTop w:val="0"/>
      <w:marBottom w:val="0"/>
      <w:divBdr>
        <w:top w:val="none" w:sz="0" w:space="0" w:color="auto"/>
        <w:left w:val="none" w:sz="0" w:space="0" w:color="auto"/>
        <w:bottom w:val="none" w:sz="0" w:space="0" w:color="auto"/>
        <w:right w:val="none" w:sz="0" w:space="0" w:color="auto"/>
      </w:divBdr>
    </w:div>
    <w:div w:id="1467435021">
      <w:bodyDiv w:val="1"/>
      <w:marLeft w:val="0"/>
      <w:marRight w:val="0"/>
      <w:marTop w:val="0"/>
      <w:marBottom w:val="0"/>
      <w:divBdr>
        <w:top w:val="none" w:sz="0" w:space="0" w:color="auto"/>
        <w:left w:val="none" w:sz="0" w:space="0" w:color="auto"/>
        <w:bottom w:val="none" w:sz="0" w:space="0" w:color="auto"/>
        <w:right w:val="none" w:sz="0" w:space="0" w:color="auto"/>
      </w:divBdr>
    </w:div>
    <w:div w:id="1476609100">
      <w:bodyDiv w:val="1"/>
      <w:marLeft w:val="0"/>
      <w:marRight w:val="0"/>
      <w:marTop w:val="0"/>
      <w:marBottom w:val="0"/>
      <w:divBdr>
        <w:top w:val="none" w:sz="0" w:space="0" w:color="auto"/>
        <w:left w:val="none" w:sz="0" w:space="0" w:color="auto"/>
        <w:bottom w:val="none" w:sz="0" w:space="0" w:color="auto"/>
        <w:right w:val="none" w:sz="0" w:space="0" w:color="auto"/>
      </w:divBdr>
    </w:div>
    <w:div w:id="1498226337">
      <w:bodyDiv w:val="1"/>
      <w:marLeft w:val="0"/>
      <w:marRight w:val="0"/>
      <w:marTop w:val="0"/>
      <w:marBottom w:val="0"/>
      <w:divBdr>
        <w:top w:val="none" w:sz="0" w:space="0" w:color="auto"/>
        <w:left w:val="none" w:sz="0" w:space="0" w:color="auto"/>
        <w:bottom w:val="none" w:sz="0" w:space="0" w:color="auto"/>
        <w:right w:val="none" w:sz="0" w:space="0" w:color="auto"/>
      </w:divBdr>
    </w:div>
    <w:div w:id="1510875234">
      <w:bodyDiv w:val="1"/>
      <w:marLeft w:val="0"/>
      <w:marRight w:val="0"/>
      <w:marTop w:val="0"/>
      <w:marBottom w:val="0"/>
      <w:divBdr>
        <w:top w:val="none" w:sz="0" w:space="0" w:color="auto"/>
        <w:left w:val="none" w:sz="0" w:space="0" w:color="auto"/>
        <w:bottom w:val="none" w:sz="0" w:space="0" w:color="auto"/>
        <w:right w:val="none" w:sz="0" w:space="0" w:color="auto"/>
      </w:divBdr>
    </w:div>
    <w:div w:id="1513640607">
      <w:bodyDiv w:val="1"/>
      <w:marLeft w:val="0"/>
      <w:marRight w:val="0"/>
      <w:marTop w:val="0"/>
      <w:marBottom w:val="0"/>
      <w:divBdr>
        <w:top w:val="none" w:sz="0" w:space="0" w:color="auto"/>
        <w:left w:val="none" w:sz="0" w:space="0" w:color="auto"/>
        <w:bottom w:val="none" w:sz="0" w:space="0" w:color="auto"/>
        <w:right w:val="none" w:sz="0" w:space="0" w:color="auto"/>
      </w:divBdr>
    </w:div>
    <w:div w:id="1566141154">
      <w:bodyDiv w:val="1"/>
      <w:marLeft w:val="0"/>
      <w:marRight w:val="0"/>
      <w:marTop w:val="0"/>
      <w:marBottom w:val="0"/>
      <w:divBdr>
        <w:top w:val="none" w:sz="0" w:space="0" w:color="auto"/>
        <w:left w:val="none" w:sz="0" w:space="0" w:color="auto"/>
        <w:bottom w:val="none" w:sz="0" w:space="0" w:color="auto"/>
        <w:right w:val="none" w:sz="0" w:space="0" w:color="auto"/>
      </w:divBdr>
    </w:div>
    <w:div w:id="1571890797">
      <w:bodyDiv w:val="1"/>
      <w:marLeft w:val="0"/>
      <w:marRight w:val="0"/>
      <w:marTop w:val="0"/>
      <w:marBottom w:val="0"/>
      <w:divBdr>
        <w:top w:val="none" w:sz="0" w:space="0" w:color="auto"/>
        <w:left w:val="none" w:sz="0" w:space="0" w:color="auto"/>
        <w:bottom w:val="none" w:sz="0" w:space="0" w:color="auto"/>
        <w:right w:val="none" w:sz="0" w:space="0" w:color="auto"/>
      </w:divBdr>
    </w:div>
    <w:div w:id="1599094255">
      <w:bodyDiv w:val="1"/>
      <w:marLeft w:val="0"/>
      <w:marRight w:val="0"/>
      <w:marTop w:val="0"/>
      <w:marBottom w:val="0"/>
      <w:divBdr>
        <w:top w:val="none" w:sz="0" w:space="0" w:color="auto"/>
        <w:left w:val="none" w:sz="0" w:space="0" w:color="auto"/>
        <w:bottom w:val="none" w:sz="0" w:space="0" w:color="auto"/>
        <w:right w:val="none" w:sz="0" w:space="0" w:color="auto"/>
      </w:divBdr>
    </w:div>
    <w:div w:id="1623803965">
      <w:bodyDiv w:val="1"/>
      <w:marLeft w:val="0"/>
      <w:marRight w:val="0"/>
      <w:marTop w:val="0"/>
      <w:marBottom w:val="0"/>
      <w:divBdr>
        <w:top w:val="none" w:sz="0" w:space="0" w:color="auto"/>
        <w:left w:val="none" w:sz="0" w:space="0" w:color="auto"/>
        <w:bottom w:val="none" w:sz="0" w:space="0" w:color="auto"/>
        <w:right w:val="none" w:sz="0" w:space="0" w:color="auto"/>
      </w:divBdr>
    </w:div>
    <w:div w:id="1632129943">
      <w:bodyDiv w:val="1"/>
      <w:marLeft w:val="0"/>
      <w:marRight w:val="0"/>
      <w:marTop w:val="0"/>
      <w:marBottom w:val="0"/>
      <w:divBdr>
        <w:top w:val="none" w:sz="0" w:space="0" w:color="auto"/>
        <w:left w:val="none" w:sz="0" w:space="0" w:color="auto"/>
        <w:bottom w:val="none" w:sz="0" w:space="0" w:color="auto"/>
        <w:right w:val="none" w:sz="0" w:space="0" w:color="auto"/>
      </w:divBdr>
    </w:div>
    <w:div w:id="1644502237">
      <w:bodyDiv w:val="1"/>
      <w:marLeft w:val="0"/>
      <w:marRight w:val="0"/>
      <w:marTop w:val="0"/>
      <w:marBottom w:val="0"/>
      <w:divBdr>
        <w:top w:val="none" w:sz="0" w:space="0" w:color="auto"/>
        <w:left w:val="none" w:sz="0" w:space="0" w:color="auto"/>
        <w:bottom w:val="none" w:sz="0" w:space="0" w:color="auto"/>
        <w:right w:val="none" w:sz="0" w:space="0" w:color="auto"/>
      </w:divBdr>
    </w:div>
    <w:div w:id="1652246878">
      <w:bodyDiv w:val="1"/>
      <w:marLeft w:val="0"/>
      <w:marRight w:val="0"/>
      <w:marTop w:val="0"/>
      <w:marBottom w:val="0"/>
      <w:divBdr>
        <w:top w:val="none" w:sz="0" w:space="0" w:color="auto"/>
        <w:left w:val="none" w:sz="0" w:space="0" w:color="auto"/>
        <w:bottom w:val="none" w:sz="0" w:space="0" w:color="auto"/>
        <w:right w:val="none" w:sz="0" w:space="0" w:color="auto"/>
      </w:divBdr>
    </w:div>
    <w:div w:id="1667244387">
      <w:bodyDiv w:val="1"/>
      <w:marLeft w:val="0"/>
      <w:marRight w:val="0"/>
      <w:marTop w:val="0"/>
      <w:marBottom w:val="0"/>
      <w:divBdr>
        <w:top w:val="none" w:sz="0" w:space="0" w:color="auto"/>
        <w:left w:val="none" w:sz="0" w:space="0" w:color="auto"/>
        <w:bottom w:val="none" w:sz="0" w:space="0" w:color="auto"/>
        <w:right w:val="none" w:sz="0" w:space="0" w:color="auto"/>
      </w:divBdr>
    </w:div>
    <w:div w:id="1706104253">
      <w:bodyDiv w:val="1"/>
      <w:marLeft w:val="0"/>
      <w:marRight w:val="0"/>
      <w:marTop w:val="0"/>
      <w:marBottom w:val="0"/>
      <w:divBdr>
        <w:top w:val="none" w:sz="0" w:space="0" w:color="auto"/>
        <w:left w:val="none" w:sz="0" w:space="0" w:color="auto"/>
        <w:bottom w:val="none" w:sz="0" w:space="0" w:color="auto"/>
        <w:right w:val="none" w:sz="0" w:space="0" w:color="auto"/>
      </w:divBdr>
    </w:div>
    <w:div w:id="1724940213">
      <w:bodyDiv w:val="1"/>
      <w:marLeft w:val="0"/>
      <w:marRight w:val="0"/>
      <w:marTop w:val="0"/>
      <w:marBottom w:val="0"/>
      <w:divBdr>
        <w:top w:val="none" w:sz="0" w:space="0" w:color="auto"/>
        <w:left w:val="none" w:sz="0" w:space="0" w:color="auto"/>
        <w:bottom w:val="none" w:sz="0" w:space="0" w:color="auto"/>
        <w:right w:val="none" w:sz="0" w:space="0" w:color="auto"/>
      </w:divBdr>
    </w:div>
    <w:div w:id="1745370454">
      <w:bodyDiv w:val="1"/>
      <w:marLeft w:val="0"/>
      <w:marRight w:val="0"/>
      <w:marTop w:val="0"/>
      <w:marBottom w:val="0"/>
      <w:divBdr>
        <w:top w:val="none" w:sz="0" w:space="0" w:color="auto"/>
        <w:left w:val="none" w:sz="0" w:space="0" w:color="auto"/>
        <w:bottom w:val="none" w:sz="0" w:space="0" w:color="auto"/>
        <w:right w:val="none" w:sz="0" w:space="0" w:color="auto"/>
      </w:divBdr>
    </w:div>
    <w:div w:id="1747798581">
      <w:bodyDiv w:val="1"/>
      <w:marLeft w:val="0"/>
      <w:marRight w:val="0"/>
      <w:marTop w:val="0"/>
      <w:marBottom w:val="0"/>
      <w:divBdr>
        <w:top w:val="none" w:sz="0" w:space="0" w:color="auto"/>
        <w:left w:val="none" w:sz="0" w:space="0" w:color="auto"/>
        <w:bottom w:val="none" w:sz="0" w:space="0" w:color="auto"/>
        <w:right w:val="none" w:sz="0" w:space="0" w:color="auto"/>
      </w:divBdr>
    </w:div>
    <w:div w:id="1752775726">
      <w:bodyDiv w:val="1"/>
      <w:marLeft w:val="0"/>
      <w:marRight w:val="0"/>
      <w:marTop w:val="0"/>
      <w:marBottom w:val="0"/>
      <w:divBdr>
        <w:top w:val="none" w:sz="0" w:space="0" w:color="auto"/>
        <w:left w:val="none" w:sz="0" w:space="0" w:color="auto"/>
        <w:bottom w:val="none" w:sz="0" w:space="0" w:color="auto"/>
        <w:right w:val="none" w:sz="0" w:space="0" w:color="auto"/>
      </w:divBdr>
    </w:div>
    <w:div w:id="1757164178">
      <w:bodyDiv w:val="1"/>
      <w:marLeft w:val="0"/>
      <w:marRight w:val="0"/>
      <w:marTop w:val="0"/>
      <w:marBottom w:val="0"/>
      <w:divBdr>
        <w:top w:val="none" w:sz="0" w:space="0" w:color="auto"/>
        <w:left w:val="none" w:sz="0" w:space="0" w:color="auto"/>
        <w:bottom w:val="none" w:sz="0" w:space="0" w:color="auto"/>
        <w:right w:val="none" w:sz="0" w:space="0" w:color="auto"/>
      </w:divBdr>
    </w:div>
    <w:div w:id="1779252972">
      <w:bodyDiv w:val="1"/>
      <w:marLeft w:val="0"/>
      <w:marRight w:val="0"/>
      <w:marTop w:val="0"/>
      <w:marBottom w:val="0"/>
      <w:divBdr>
        <w:top w:val="none" w:sz="0" w:space="0" w:color="auto"/>
        <w:left w:val="none" w:sz="0" w:space="0" w:color="auto"/>
        <w:bottom w:val="none" w:sz="0" w:space="0" w:color="auto"/>
        <w:right w:val="none" w:sz="0" w:space="0" w:color="auto"/>
      </w:divBdr>
    </w:div>
    <w:div w:id="1779791750">
      <w:bodyDiv w:val="1"/>
      <w:marLeft w:val="0"/>
      <w:marRight w:val="0"/>
      <w:marTop w:val="0"/>
      <w:marBottom w:val="0"/>
      <w:divBdr>
        <w:top w:val="none" w:sz="0" w:space="0" w:color="auto"/>
        <w:left w:val="none" w:sz="0" w:space="0" w:color="auto"/>
        <w:bottom w:val="none" w:sz="0" w:space="0" w:color="auto"/>
        <w:right w:val="none" w:sz="0" w:space="0" w:color="auto"/>
      </w:divBdr>
    </w:div>
    <w:div w:id="1798986309">
      <w:bodyDiv w:val="1"/>
      <w:marLeft w:val="0"/>
      <w:marRight w:val="0"/>
      <w:marTop w:val="0"/>
      <w:marBottom w:val="0"/>
      <w:divBdr>
        <w:top w:val="none" w:sz="0" w:space="0" w:color="auto"/>
        <w:left w:val="none" w:sz="0" w:space="0" w:color="auto"/>
        <w:bottom w:val="none" w:sz="0" w:space="0" w:color="auto"/>
        <w:right w:val="none" w:sz="0" w:space="0" w:color="auto"/>
      </w:divBdr>
    </w:div>
    <w:div w:id="1806925251">
      <w:bodyDiv w:val="1"/>
      <w:marLeft w:val="0"/>
      <w:marRight w:val="0"/>
      <w:marTop w:val="0"/>
      <w:marBottom w:val="0"/>
      <w:divBdr>
        <w:top w:val="none" w:sz="0" w:space="0" w:color="auto"/>
        <w:left w:val="none" w:sz="0" w:space="0" w:color="auto"/>
        <w:bottom w:val="none" w:sz="0" w:space="0" w:color="auto"/>
        <w:right w:val="none" w:sz="0" w:space="0" w:color="auto"/>
      </w:divBdr>
    </w:div>
    <w:div w:id="1808088207">
      <w:bodyDiv w:val="1"/>
      <w:marLeft w:val="0"/>
      <w:marRight w:val="0"/>
      <w:marTop w:val="0"/>
      <w:marBottom w:val="0"/>
      <w:divBdr>
        <w:top w:val="none" w:sz="0" w:space="0" w:color="auto"/>
        <w:left w:val="none" w:sz="0" w:space="0" w:color="auto"/>
        <w:bottom w:val="none" w:sz="0" w:space="0" w:color="auto"/>
        <w:right w:val="none" w:sz="0" w:space="0" w:color="auto"/>
      </w:divBdr>
    </w:div>
    <w:div w:id="1810174331">
      <w:bodyDiv w:val="1"/>
      <w:marLeft w:val="0"/>
      <w:marRight w:val="0"/>
      <w:marTop w:val="0"/>
      <w:marBottom w:val="0"/>
      <w:divBdr>
        <w:top w:val="none" w:sz="0" w:space="0" w:color="auto"/>
        <w:left w:val="none" w:sz="0" w:space="0" w:color="auto"/>
        <w:bottom w:val="none" w:sz="0" w:space="0" w:color="auto"/>
        <w:right w:val="none" w:sz="0" w:space="0" w:color="auto"/>
      </w:divBdr>
    </w:div>
    <w:div w:id="1910458363">
      <w:bodyDiv w:val="1"/>
      <w:marLeft w:val="0"/>
      <w:marRight w:val="0"/>
      <w:marTop w:val="0"/>
      <w:marBottom w:val="0"/>
      <w:divBdr>
        <w:top w:val="none" w:sz="0" w:space="0" w:color="auto"/>
        <w:left w:val="none" w:sz="0" w:space="0" w:color="auto"/>
        <w:bottom w:val="none" w:sz="0" w:space="0" w:color="auto"/>
        <w:right w:val="none" w:sz="0" w:space="0" w:color="auto"/>
      </w:divBdr>
    </w:div>
    <w:div w:id="1911690281">
      <w:bodyDiv w:val="1"/>
      <w:marLeft w:val="0"/>
      <w:marRight w:val="0"/>
      <w:marTop w:val="0"/>
      <w:marBottom w:val="0"/>
      <w:divBdr>
        <w:top w:val="none" w:sz="0" w:space="0" w:color="auto"/>
        <w:left w:val="none" w:sz="0" w:space="0" w:color="auto"/>
        <w:bottom w:val="none" w:sz="0" w:space="0" w:color="auto"/>
        <w:right w:val="none" w:sz="0" w:space="0" w:color="auto"/>
      </w:divBdr>
    </w:div>
    <w:div w:id="1930389310">
      <w:bodyDiv w:val="1"/>
      <w:marLeft w:val="0"/>
      <w:marRight w:val="0"/>
      <w:marTop w:val="0"/>
      <w:marBottom w:val="0"/>
      <w:divBdr>
        <w:top w:val="none" w:sz="0" w:space="0" w:color="auto"/>
        <w:left w:val="none" w:sz="0" w:space="0" w:color="auto"/>
        <w:bottom w:val="none" w:sz="0" w:space="0" w:color="auto"/>
        <w:right w:val="none" w:sz="0" w:space="0" w:color="auto"/>
      </w:divBdr>
    </w:div>
    <w:div w:id="1931312912">
      <w:bodyDiv w:val="1"/>
      <w:marLeft w:val="0"/>
      <w:marRight w:val="0"/>
      <w:marTop w:val="0"/>
      <w:marBottom w:val="0"/>
      <w:divBdr>
        <w:top w:val="none" w:sz="0" w:space="0" w:color="auto"/>
        <w:left w:val="none" w:sz="0" w:space="0" w:color="auto"/>
        <w:bottom w:val="none" w:sz="0" w:space="0" w:color="auto"/>
        <w:right w:val="none" w:sz="0" w:space="0" w:color="auto"/>
      </w:divBdr>
    </w:div>
    <w:div w:id="1933780203">
      <w:bodyDiv w:val="1"/>
      <w:marLeft w:val="0"/>
      <w:marRight w:val="0"/>
      <w:marTop w:val="0"/>
      <w:marBottom w:val="0"/>
      <w:divBdr>
        <w:top w:val="none" w:sz="0" w:space="0" w:color="auto"/>
        <w:left w:val="none" w:sz="0" w:space="0" w:color="auto"/>
        <w:bottom w:val="none" w:sz="0" w:space="0" w:color="auto"/>
        <w:right w:val="none" w:sz="0" w:space="0" w:color="auto"/>
      </w:divBdr>
    </w:div>
    <w:div w:id="1950626770">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1991055703">
      <w:bodyDiv w:val="1"/>
      <w:marLeft w:val="0"/>
      <w:marRight w:val="0"/>
      <w:marTop w:val="0"/>
      <w:marBottom w:val="0"/>
      <w:divBdr>
        <w:top w:val="none" w:sz="0" w:space="0" w:color="auto"/>
        <w:left w:val="none" w:sz="0" w:space="0" w:color="auto"/>
        <w:bottom w:val="none" w:sz="0" w:space="0" w:color="auto"/>
        <w:right w:val="none" w:sz="0" w:space="0" w:color="auto"/>
      </w:divBdr>
    </w:div>
    <w:div w:id="2027055977">
      <w:bodyDiv w:val="1"/>
      <w:marLeft w:val="0"/>
      <w:marRight w:val="0"/>
      <w:marTop w:val="0"/>
      <w:marBottom w:val="0"/>
      <w:divBdr>
        <w:top w:val="none" w:sz="0" w:space="0" w:color="auto"/>
        <w:left w:val="none" w:sz="0" w:space="0" w:color="auto"/>
        <w:bottom w:val="none" w:sz="0" w:space="0" w:color="auto"/>
        <w:right w:val="none" w:sz="0" w:space="0" w:color="auto"/>
      </w:divBdr>
    </w:div>
    <w:div w:id="2061008395">
      <w:bodyDiv w:val="1"/>
      <w:marLeft w:val="0"/>
      <w:marRight w:val="0"/>
      <w:marTop w:val="0"/>
      <w:marBottom w:val="0"/>
      <w:divBdr>
        <w:top w:val="none" w:sz="0" w:space="0" w:color="auto"/>
        <w:left w:val="none" w:sz="0" w:space="0" w:color="auto"/>
        <w:bottom w:val="none" w:sz="0" w:space="0" w:color="auto"/>
        <w:right w:val="none" w:sz="0" w:space="0" w:color="auto"/>
      </w:divBdr>
    </w:div>
    <w:div w:id="2084644370">
      <w:bodyDiv w:val="1"/>
      <w:marLeft w:val="0"/>
      <w:marRight w:val="0"/>
      <w:marTop w:val="0"/>
      <w:marBottom w:val="0"/>
      <w:divBdr>
        <w:top w:val="none" w:sz="0" w:space="0" w:color="auto"/>
        <w:left w:val="none" w:sz="0" w:space="0" w:color="auto"/>
        <w:bottom w:val="none" w:sz="0" w:space="0" w:color="auto"/>
        <w:right w:val="none" w:sz="0" w:space="0" w:color="auto"/>
      </w:divBdr>
    </w:div>
    <w:div w:id="2108765311">
      <w:bodyDiv w:val="1"/>
      <w:marLeft w:val="0"/>
      <w:marRight w:val="0"/>
      <w:marTop w:val="0"/>
      <w:marBottom w:val="0"/>
      <w:divBdr>
        <w:top w:val="none" w:sz="0" w:space="0" w:color="auto"/>
        <w:left w:val="none" w:sz="0" w:space="0" w:color="auto"/>
        <w:bottom w:val="none" w:sz="0" w:space="0" w:color="auto"/>
        <w:right w:val="none" w:sz="0" w:space="0" w:color="auto"/>
      </w:divBdr>
    </w:div>
    <w:div w:id="214469144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687793853074797BACB4BFFD5DEB2" ma:contentTypeVersion="5" ma:contentTypeDescription="Create a new document." ma:contentTypeScope="" ma:versionID="bfda4dd393df7f897b328c34b6243b78">
  <xsd:schema xmlns:xsd="http://www.w3.org/2001/XMLSchema" xmlns:xs="http://www.w3.org/2001/XMLSchema" xmlns:p="http://schemas.microsoft.com/office/2006/metadata/properties" xmlns:ns2="5c2267a0-b276-4793-ad28-178335e90c66" xmlns:ns3="13381105-23b4-482c-b26e-38f114abedda" targetNamespace="http://schemas.microsoft.com/office/2006/metadata/properties" ma:root="true" ma:fieldsID="95a03ebf19219d1d9655eb2034ba9ee0" ns2:_="" ns3:_="">
    <xsd:import namespace="5c2267a0-b276-4793-ad28-178335e90c66"/>
    <xsd:import namespace="13381105-23b4-482c-b26e-38f114abedda"/>
    <xsd:element name="properties">
      <xsd:complexType>
        <xsd:sequence>
          <xsd:element name="documentManagement">
            <xsd:complexType>
              <xsd:all>
                <xsd:element ref="ns2:_dlc_DocId" minOccurs="0"/>
                <xsd:element ref="ns2:_dlc_DocIdUrl" minOccurs="0"/>
                <xsd:element ref="ns2:_dlc_DocIdPersistId" minOccurs="0"/>
                <xsd:element ref="ns3:Document_x0020_Type"/>
                <xsd:element ref="ns3:Meeting"/>
                <xsd:element ref="ns3:Run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267a0-b276-4793-ad28-178335e90c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381105-23b4-482c-b26e-38f114abedda" elementFormDefault="qualified">
    <xsd:import namespace="http://schemas.microsoft.com/office/2006/documentManagement/types"/>
    <xsd:import namespace="http://schemas.microsoft.com/office/infopath/2007/PartnerControls"/>
    <xsd:element name="Document_x0020_Type" ma:index="11" ma:displayName="Document Type" ma:format="Dropdown" ma:internalName="Document_x0020_Type">
      <xsd:simpleType>
        <xsd:restriction base="dms:Choice">
          <xsd:enumeration value="Archive"/>
          <xsd:enumeration value="Working Documents"/>
          <xsd:enumeration value="Forward Planning"/>
        </xsd:restriction>
      </xsd:simpleType>
    </xsd:element>
    <xsd:element name="Meeting" ma:index="12" ma:displayName="Meeting" ma:format="Dropdown" ma:internalName="Meeting">
      <xsd:simpleType>
        <xsd:restriction base="dms:Choice">
          <xsd:enumeration value="Community Safety Committee"/>
          <xsd:enumeration value="Finance and Resources Committee"/>
          <xsd:enumeration value="Full Fire Authority"/>
          <xsd:enumeration value="Human Resources Committee"/>
          <xsd:enumeration value="Policy and Strategy Committee"/>
        </xsd:restriction>
      </xsd:simpleType>
    </xsd:element>
    <xsd:element name="RunWF" ma:index="14" nillable="true" ma:displayName="RunWF" ma:internalName="RunW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unWF xmlns="13381105-23b4-482c-b26e-38f114abedda" xsi:nil="true"/>
    <Meeting xmlns="13381105-23b4-482c-b26e-38f114abedda">Policy and Strategy Committee</Meeting>
    <Document_x0020_Type xmlns="13381105-23b4-482c-b26e-38f114abedda">Archive</Document_x0020_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B356-F616-451F-8FF7-2BDC09113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267a0-b276-4793-ad28-178335e90c66"/>
    <ds:schemaRef ds:uri="13381105-23b4-482c-b26e-38f114ab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0F657-FDBB-4A81-AD0A-1B748C510AF1}">
  <ds:schemaRefs>
    <ds:schemaRef ds:uri="http://schemas.microsoft.com/sharepoint/events"/>
  </ds:schemaRefs>
</ds:datastoreItem>
</file>

<file path=customXml/itemProps3.xml><?xml version="1.0" encoding="utf-8"?>
<ds:datastoreItem xmlns:ds="http://schemas.openxmlformats.org/officeDocument/2006/customXml" ds:itemID="{B5569BA8-A356-4918-B78A-104A7BE5BFC3}">
  <ds:schemaRefs>
    <ds:schemaRef ds:uri="http://schemas.microsoft.com/office/2006/metadata/longProperties"/>
  </ds:schemaRefs>
</ds:datastoreItem>
</file>

<file path=customXml/itemProps4.xml><?xml version="1.0" encoding="utf-8"?>
<ds:datastoreItem xmlns:ds="http://schemas.openxmlformats.org/officeDocument/2006/customXml" ds:itemID="{099033FB-0D4A-43D1-AB3B-AF8E7032A3BF}">
  <ds:schemaRefs>
    <ds:schemaRef ds:uri="http://schemas.microsoft.com/sharepoint/v3/contenttype/forms"/>
  </ds:schemaRefs>
</ds:datastoreItem>
</file>

<file path=customXml/itemProps5.xml><?xml version="1.0" encoding="utf-8"?>
<ds:datastoreItem xmlns:ds="http://schemas.openxmlformats.org/officeDocument/2006/customXml" ds:itemID="{BC2131E6-C679-41A8-A36D-6F1CDFFA83E9}">
  <ds:schemaRefs>
    <ds:schemaRef ds:uri="http://purl.org/dc/elements/1.1/"/>
    <ds:schemaRef ds:uri="http://schemas.openxmlformats.org/package/2006/metadata/core-properties"/>
    <ds:schemaRef ds:uri="http://purl.org/dc/dcmitype/"/>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13381105-23b4-482c-b26e-38f114abedda"/>
    <ds:schemaRef ds:uri="5c2267a0-b276-4793-ad28-178335e90c66"/>
  </ds:schemaRefs>
</ds:datastoreItem>
</file>

<file path=customXml/itemProps6.xml><?xml version="1.0" encoding="utf-8"?>
<ds:datastoreItem xmlns:ds="http://schemas.openxmlformats.org/officeDocument/2006/customXml" ds:itemID="{985F10CE-4678-4ED3-AF08-BC866D32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2B204491</Template>
  <TotalTime>0</TotalTime>
  <Pages>8</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2018_PSC_2 MAY FINAL 1 Local Pension Board Update</vt:lpstr>
    </vt:vector>
  </TitlesOfParts>
  <Company>Notts Fire &amp; Rescue Service</Company>
  <LinksUpToDate>false</LinksUpToDate>
  <CharactersWithSpaces>10545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2018_PSC_2 MAY FINAL 1 Local Pension Board Update</dc:title>
  <dc:subject/>
  <dc:creator>Template User</dc:creator>
  <cp:keywords/>
  <cp:lastModifiedBy>Claire Hey</cp:lastModifiedBy>
  <cp:revision>2</cp:revision>
  <cp:lastPrinted>2018-07-19T07:45:00Z</cp:lastPrinted>
  <dcterms:created xsi:type="dcterms:W3CDTF">2018-08-14T07:45:00Z</dcterms:created>
  <dcterms:modified xsi:type="dcterms:W3CDTF">2018-08-14T07:45:00Z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NY6PE7AEHJ6E-13-533</vt:lpwstr>
  </property>
  <property fmtid="{D5CDD505-2E9C-101B-9397-08002B2CF9AE}" pid="3" name="_dlc_DocIdItemGuid">
    <vt:lpwstr>3f86ae32-15e3-47fd-b662-d7a16f4c7503</vt:lpwstr>
  </property>
  <property fmtid="{D5CDD505-2E9C-101B-9397-08002B2CF9AE}" pid="4" name="_dlc_DocIdUrl">
    <vt:lpwstr>http://intranet/sites/EDTSLT/_layouts/DocIdRedir.aspx?ID=NY6PE7AEHJ6E-13-533, NY6PE7AEHJ6E-13-533</vt:lpwstr>
  </property>
  <property fmtid="{D5CDD505-2E9C-101B-9397-08002B2CF9AE}" pid="5" name="WorkflowChangePath">
    <vt:lpwstr>7542c0d7-97cd-4b54-a50d-d9f998c25d78,4;</vt:lpwstr>
  </property>
</Properties>
</file>